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1A47" w14:textId="4BFC542E" w:rsidR="0085399D" w:rsidRPr="00C416D1" w:rsidRDefault="0085399D" w:rsidP="00C416D1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416D1">
        <w:rPr>
          <w:bCs/>
          <w:sz w:val="28"/>
          <w:szCs w:val="28"/>
        </w:rPr>
        <w:t xml:space="preserve">Валерия Вячеславовна Битюцкая </w:t>
      </w:r>
    </w:p>
    <w:p w14:paraId="4E203E76" w14:textId="5B2134B7" w:rsidR="0085399D" w:rsidRDefault="0085399D" w:rsidP="00C416D1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Санкт-Петербургский государственн</w:t>
      </w:r>
      <w:r w:rsidR="00F55A4A">
        <w:rPr>
          <w:rFonts w:cs="Times New Roman"/>
          <w:szCs w:val="28"/>
        </w:rPr>
        <w:t>ый университет</w:t>
      </w:r>
      <w:r>
        <w:rPr>
          <w:rFonts w:cs="Times New Roman"/>
          <w:szCs w:val="28"/>
        </w:rPr>
        <w:t xml:space="preserve"> </w:t>
      </w:r>
    </w:p>
    <w:p w14:paraId="3A059764" w14:textId="2BDD6AB2" w:rsidR="004D1E11" w:rsidRPr="004D1E11" w:rsidRDefault="004D1E11" w:rsidP="00C416D1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hyperlink r:id="rId4" w:history="1">
        <w:r w:rsidRPr="00B1297B">
          <w:rPr>
            <w:rStyle w:val="ac"/>
            <w:rFonts w:cs="Times New Roman"/>
            <w:szCs w:val="28"/>
            <w:lang w:val="en-US"/>
          </w:rPr>
          <w:t>v</w:t>
        </w:r>
        <w:r w:rsidRPr="004D1E11">
          <w:rPr>
            <w:rStyle w:val="ac"/>
            <w:rFonts w:cs="Times New Roman"/>
            <w:szCs w:val="28"/>
          </w:rPr>
          <w:t>.</w:t>
        </w:r>
        <w:r w:rsidRPr="00B1297B">
          <w:rPr>
            <w:rStyle w:val="ac"/>
            <w:rFonts w:cs="Times New Roman"/>
            <w:szCs w:val="28"/>
            <w:lang w:val="en-US"/>
          </w:rPr>
          <w:t>bityutskaya</w:t>
        </w:r>
        <w:r w:rsidRPr="004D1E11">
          <w:rPr>
            <w:rStyle w:val="ac"/>
            <w:rFonts w:cs="Times New Roman"/>
            <w:szCs w:val="28"/>
          </w:rPr>
          <w:t>@</w:t>
        </w:r>
        <w:r w:rsidRPr="00B1297B">
          <w:rPr>
            <w:rStyle w:val="ac"/>
            <w:rFonts w:cs="Times New Roman"/>
            <w:szCs w:val="28"/>
            <w:lang w:val="en-US"/>
          </w:rPr>
          <w:t>spbu</w:t>
        </w:r>
        <w:r w:rsidRPr="004D1E11">
          <w:rPr>
            <w:rStyle w:val="ac"/>
            <w:rFonts w:cs="Times New Roman"/>
            <w:szCs w:val="28"/>
          </w:rPr>
          <w:t>.</w:t>
        </w:r>
        <w:r w:rsidRPr="00B1297B">
          <w:rPr>
            <w:rStyle w:val="ac"/>
            <w:rFonts w:cs="Times New Roman"/>
            <w:szCs w:val="28"/>
            <w:lang w:val="en-US"/>
          </w:rPr>
          <w:t>ru</w:t>
        </w:r>
      </w:hyperlink>
      <w:r w:rsidRPr="004D1E11">
        <w:rPr>
          <w:rFonts w:cs="Times New Roman"/>
          <w:szCs w:val="28"/>
        </w:rPr>
        <w:t xml:space="preserve"> </w:t>
      </w:r>
    </w:p>
    <w:p w14:paraId="46091407" w14:textId="77777777" w:rsidR="0085399D" w:rsidRDefault="0085399D" w:rsidP="00C416D1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17A05EEE" w14:textId="1ED206CE" w:rsidR="0085399D" w:rsidRPr="00816DFB" w:rsidRDefault="00816DFB" w:rsidP="00C416D1">
      <w:pPr>
        <w:spacing w:after="0" w:line="360" w:lineRule="auto"/>
        <w:ind w:firstLine="709"/>
        <w:contextualSpacing/>
        <w:jc w:val="both"/>
        <w:rPr>
          <w:b/>
          <w:bCs/>
        </w:rPr>
      </w:pPr>
      <w:r>
        <w:rPr>
          <w:b/>
          <w:bCs/>
        </w:rPr>
        <w:t>СМИ</w:t>
      </w:r>
      <w:r w:rsidR="00B02A0E" w:rsidRPr="00816DFB">
        <w:rPr>
          <w:b/>
          <w:bCs/>
        </w:rPr>
        <w:t xml:space="preserve"> Венгрии</w:t>
      </w:r>
      <w:r>
        <w:rPr>
          <w:b/>
          <w:bCs/>
        </w:rPr>
        <w:t xml:space="preserve">, </w:t>
      </w:r>
      <w:r w:rsidRPr="00816DFB">
        <w:rPr>
          <w:b/>
          <w:bCs/>
        </w:rPr>
        <w:t>ГДР</w:t>
      </w:r>
      <w:r w:rsidR="00B02A0E" w:rsidRPr="00816DFB">
        <w:rPr>
          <w:b/>
          <w:bCs/>
        </w:rPr>
        <w:t xml:space="preserve"> и Румынии </w:t>
      </w:r>
      <w:r w:rsidR="0085399D" w:rsidRPr="00816DFB">
        <w:rPr>
          <w:b/>
          <w:bCs/>
        </w:rPr>
        <w:t>накануне 40-летия Победы</w:t>
      </w:r>
    </w:p>
    <w:p w14:paraId="7C87B80C" w14:textId="77777777" w:rsidR="0085399D" w:rsidRDefault="0085399D" w:rsidP="00C416D1">
      <w:pPr>
        <w:spacing w:after="0" w:line="360" w:lineRule="auto"/>
        <w:ind w:firstLine="709"/>
        <w:contextualSpacing/>
        <w:jc w:val="both"/>
      </w:pPr>
    </w:p>
    <w:p w14:paraId="492A0C61" w14:textId="19B10490" w:rsidR="00816DFB" w:rsidRPr="00CD5C69" w:rsidRDefault="00CD5C69" w:rsidP="00C416D1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5399D" w:rsidRPr="002D09A5">
        <w:rPr>
          <w:sz w:val="28"/>
          <w:szCs w:val="28"/>
        </w:rPr>
        <w:t>ассматрива</w:t>
      </w:r>
      <w:r w:rsidR="004D1E11">
        <w:rPr>
          <w:sz w:val="28"/>
          <w:szCs w:val="28"/>
        </w:rPr>
        <w:t>ют</w:t>
      </w:r>
      <w:r w:rsidR="0085399D" w:rsidRPr="002D09A5">
        <w:rPr>
          <w:sz w:val="28"/>
          <w:szCs w:val="28"/>
        </w:rPr>
        <w:t xml:space="preserve">ся </w:t>
      </w:r>
      <w:r w:rsidR="004D1E11">
        <w:rPr>
          <w:sz w:val="28"/>
          <w:szCs w:val="28"/>
        </w:rPr>
        <w:t>планы подготовки ко Дню Победы 1985</w:t>
      </w:r>
      <w:r w:rsidR="00816DFB">
        <w:rPr>
          <w:sz w:val="28"/>
          <w:szCs w:val="28"/>
        </w:rPr>
        <w:t> </w:t>
      </w:r>
      <w:r w:rsidR="004D1E11">
        <w:rPr>
          <w:sz w:val="28"/>
          <w:szCs w:val="28"/>
        </w:rPr>
        <w:t>года в</w:t>
      </w:r>
      <w:r w:rsidR="00B02A0E">
        <w:rPr>
          <w:sz w:val="28"/>
          <w:szCs w:val="28"/>
        </w:rPr>
        <w:t xml:space="preserve"> </w:t>
      </w:r>
      <w:r w:rsidR="004D1E11">
        <w:rPr>
          <w:sz w:val="28"/>
          <w:szCs w:val="28"/>
        </w:rPr>
        <w:t>Венгрии</w:t>
      </w:r>
      <w:r w:rsidR="00816DFB">
        <w:rPr>
          <w:sz w:val="28"/>
          <w:szCs w:val="28"/>
        </w:rPr>
        <w:t>,</w:t>
      </w:r>
      <w:r w:rsidR="00B02A0E">
        <w:rPr>
          <w:sz w:val="28"/>
          <w:szCs w:val="28"/>
        </w:rPr>
        <w:t xml:space="preserve"> </w:t>
      </w:r>
      <w:r w:rsidR="00816DFB">
        <w:rPr>
          <w:sz w:val="28"/>
          <w:szCs w:val="28"/>
        </w:rPr>
        <w:t xml:space="preserve">ГДР </w:t>
      </w:r>
      <w:r w:rsidR="00B02A0E">
        <w:rPr>
          <w:sz w:val="28"/>
          <w:szCs w:val="28"/>
        </w:rPr>
        <w:t>и</w:t>
      </w:r>
      <w:r w:rsidR="004D1E11">
        <w:rPr>
          <w:sz w:val="28"/>
          <w:szCs w:val="28"/>
        </w:rPr>
        <w:t xml:space="preserve"> Румынии: выступления</w:t>
      </w:r>
      <w:r w:rsidR="00795069">
        <w:rPr>
          <w:sz w:val="28"/>
          <w:szCs w:val="28"/>
        </w:rPr>
        <w:t xml:space="preserve"> руководства</w:t>
      </w:r>
      <w:r w:rsidR="004D1E11">
        <w:rPr>
          <w:sz w:val="28"/>
          <w:szCs w:val="28"/>
        </w:rPr>
        <w:t xml:space="preserve">, публикации, </w:t>
      </w:r>
      <w:r w:rsidR="0015062B">
        <w:rPr>
          <w:sz w:val="28"/>
          <w:szCs w:val="28"/>
        </w:rPr>
        <w:t>книг</w:t>
      </w:r>
      <w:r w:rsidR="00816DFB">
        <w:rPr>
          <w:sz w:val="28"/>
          <w:szCs w:val="28"/>
        </w:rPr>
        <w:t>и</w:t>
      </w:r>
      <w:r w:rsidR="0015062B">
        <w:rPr>
          <w:sz w:val="28"/>
          <w:szCs w:val="28"/>
        </w:rPr>
        <w:t xml:space="preserve"> и фильм</w:t>
      </w:r>
      <w:r w:rsidR="00816DFB">
        <w:rPr>
          <w:sz w:val="28"/>
          <w:szCs w:val="28"/>
        </w:rPr>
        <w:t>ы</w:t>
      </w:r>
      <w:r w:rsidR="00BB7727">
        <w:rPr>
          <w:sz w:val="28"/>
          <w:szCs w:val="28"/>
        </w:rPr>
        <w:t>.</w:t>
      </w:r>
      <w:r w:rsidR="004D1E11">
        <w:rPr>
          <w:sz w:val="28"/>
          <w:szCs w:val="28"/>
        </w:rPr>
        <w:t xml:space="preserve"> </w:t>
      </w:r>
      <w:r w:rsidR="00980328">
        <w:rPr>
          <w:sz w:val="28"/>
          <w:szCs w:val="28"/>
        </w:rPr>
        <w:t>В основу</w:t>
      </w:r>
      <w:r w:rsidR="0085399D" w:rsidRPr="002D09A5">
        <w:rPr>
          <w:sz w:val="28"/>
          <w:szCs w:val="28"/>
        </w:rPr>
        <w:t xml:space="preserve"> исследования</w:t>
      </w:r>
      <w:r w:rsidR="004D1E11">
        <w:rPr>
          <w:sz w:val="28"/>
          <w:szCs w:val="28"/>
        </w:rPr>
        <w:t xml:space="preserve"> </w:t>
      </w:r>
      <w:r w:rsidR="00980328">
        <w:rPr>
          <w:sz w:val="28"/>
          <w:szCs w:val="28"/>
        </w:rPr>
        <w:t>легли</w:t>
      </w:r>
      <w:r w:rsidR="004D1E11">
        <w:rPr>
          <w:sz w:val="28"/>
          <w:szCs w:val="28"/>
        </w:rPr>
        <w:t xml:space="preserve"> </w:t>
      </w:r>
      <w:r w:rsidR="00795069">
        <w:rPr>
          <w:sz w:val="28"/>
          <w:szCs w:val="28"/>
        </w:rPr>
        <w:t>обзоры</w:t>
      </w:r>
      <w:r w:rsidR="004D1E11">
        <w:rPr>
          <w:sz w:val="28"/>
          <w:szCs w:val="28"/>
        </w:rPr>
        <w:t xml:space="preserve"> журналистов-международников, опубликованные в </w:t>
      </w:r>
      <w:r w:rsidR="00075E3E">
        <w:rPr>
          <w:sz w:val="28"/>
          <w:szCs w:val="28"/>
        </w:rPr>
        <w:t>нескольких</w:t>
      </w:r>
      <w:r w:rsidR="00816DFB">
        <w:rPr>
          <w:sz w:val="28"/>
          <w:szCs w:val="28"/>
        </w:rPr>
        <w:t xml:space="preserve"> выпусках</w:t>
      </w:r>
      <w:r w:rsidR="004D1E11">
        <w:rPr>
          <w:sz w:val="28"/>
          <w:szCs w:val="28"/>
        </w:rPr>
        <w:t xml:space="preserve"> «Информационных писем корреспондентов ТАСС»</w:t>
      </w:r>
      <w:r w:rsidR="00075E3E">
        <w:rPr>
          <w:sz w:val="28"/>
          <w:szCs w:val="28"/>
        </w:rPr>
        <w:t xml:space="preserve"> 1985 года</w:t>
      </w:r>
      <w:r w:rsidR="004D1E11">
        <w:rPr>
          <w:sz w:val="28"/>
          <w:szCs w:val="28"/>
        </w:rPr>
        <w:t>, посвященн</w:t>
      </w:r>
      <w:r w:rsidR="00816DFB">
        <w:rPr>
          <w:sz w:val="28"/>
          <w:szCs w:val="28"/>
        </w:rPr>
        <w:t>ых</w:t>
      </w:r>
      <w:r w:rsidR="004D1E11">
        <w:rPr>
          <w:sz w:val="28"/>
          <w:szCs w:val="28"/>
        </w:rPr>
        <w:t xml:space="preserve"> подготовке к 40-летию Победы</w:t>
      </w:r>
      <w:r w:rsidR="00795069">
        <w:rPr>
          <w:sz w:val="28"/>
          <w:szCs w:val="28"/>
        </w:rPr>
        <w:t>. Выбраны страны</w:t>
      </w:r>
      <w:r w:rsidRPr="00CD5C69">
        <w:rPr>
          <w:sz w:val="28"/>
          <w:szCs w:val="28"/>
        </w:rPr>
        <w:t xml:space="preserve">, </w:t>
      </w:r>
      <w:r w:rsidR="00795069">
        <w:rPr>
          <w:sz w:val="28"/>
          <w:szCs w:val="28"/>
        </w:rPr>
        <w:t>которые присоединились</w:t>
      </w:r>
      <w:r w:rsidRPr="00CD5C69">
        <w:rPr>
          <w:sz w:val="28"/>
          <w:szCs w:val="28"/>
        </w:rPr>
        <w:t xml:space="preserve"> </w:t>
      </w:r>
      <w:r w:rsidR="00795069">
        <w:rPr>
          <w:sz w:val="28"/>
          <w:szCs w:val="28"/>
        </w:rPr>
        <w:t>к</w:t>
      </w:r>
      <w:r w:rsidRPr="00CD5C69">
        <w:rPr>
          <w:sz w:val="28"/>
          <w:szCs w:val="28"/>
        </w:rPr>
        <w:t xml:space="preserve"> Гитлер</w:t>
      </w:r>
      <w:r w:rsidR="00795069">
        <w:rPr>
          <w:sz w:val="28"/>
          <w:szCs w:val="28"/>
        </w:rPr>
        <w:t>у</w:t>
      </w:r>
      <w:r w:rsidRPr="00CD5C69">
        <w:rPr>
          <w:sz w:val="28"/>
          <w:szCs w:val="28"/>
        </w:rPr>
        <w:t xml:space="preserve">, а </w:t>
      </w:r>
      <w:r w:rsidR="00795069">
        <w:rPr>
          <w:sz w:val="28"/>
          <w:szCs w:val="28"/>
        </w:rPr>
        <w:t>после войны</w:t>
      </w:r>
      <w:r w:rsidRPr="00CD5C69">
        <w:rPr>
          <w:sz w:val="28"/>
          <w:szCs w:val="28"/>
        </w:rPr>
        <w:t xml:space="preserve"> вошли в ОВД: ГДР, Венгри</w:t>
      </w:r>
      <w:r w:rsidR="00795069">
        <w:rPr>
          <w:sz w:val="28"/>
          <w:szCs w:val="28"/>
        </w:rPr>
        <w:t>я</w:t>
      </w:r>
      <w:r w:rsidRPr="00CD5C69">
        <w:rPr>
          <w:sz w:val="28"/>
          <w:szCs w:val="28"/>
        </w:rPr>
        <w:t xml:space="preserve"> и Румыни</w:t>
      </w:r>
      <w:r w:rsidR="00795069">
        <w:rPr>
          <w:sz w:val="28"/>
          <w:szCs w:val="28"/>
        </w:rPr>
        <w:t>я</w:t>
      </w:r>
      <w:r w:rsidRPr="00CD5C69">
        <w:rPr>
          <w:sz w:val="28"/>
          <w:szCs w:val="28"/>
        </w:rPr>
        <w:t>.</w:t>
      </w:r>
    </w:p>
    <w:p w14:paraId="212B5457" w14:textId="6BA22F72" w:rsidR="0085399D" w:rsidRPr="002D09A5" w:rsidRDefault="0085399D" w:rsidP="00C416D1">
      <w:pPr>
        <w:pStyle w:val="ad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 xml:space="preserve">Ключевые слова: </w:t>
      </w:r>
      <w:r w:rsidR="00BB7727">
        <w:rPr>
          <w:bCs/>
          <w:sz w:val="28"/>
          <w:szCs w:val="28"/>
        </w:rPr>
        <w:t>40-летие Победы, ТАСС,</w:t>
      </w:r>
      <w:r w:rsidR="00816DFB">
        <w:rPr>
          <w:bCs/>
          <w:sz w:val="28"/>
          <w:szCs w:val="28"/>
        </w:rPr>
        <w:t xml:space="preserve"> Венгрия, ГДР, Румыния</w:t>
      </w:r>
      <w:r w:rsidR="00C416D1">
        <w:rPr>
          <w:bCs/>
          <w:sz w:val="28"/>
          <w:szCs w:val="28"/>
        </w:rPr>
        <w:t>.</w:t>
      </w:r>
    </w:p>
    <w:p w14:paraId="620B575A" w14:textId="77777777" w:rsidR="0085399D" w:rsidRDefault="0085399D" w:rsidP="00C416D1">
      <w:pPr>
        <w:spacing w:after="0" w:line="360" w:lineRule="auto"/>
        <w:ind w:firstLine="709"/>
        <w:contextualSpacing/>
        <w:jc w:val="both"/>
      </w:pPr>
    </w:p>
    <w:p w14:paraId="235ED5F9" w14:textId="2553F7D5" w:rsidR="00624003" w:rsidRDefault="003543FA" w:rsidP="00C416D1">
      <w:pPr>
        <w:spacing w:after="0" w:line="360" w:lineRule="auto"/>
        <w:ind w:firstLine="709"/>
        <w:contextualSpacing/>
        <w:jc w:val="both"/>
      </w:pPr>
      <w:r>
        <w:t xml:space="preserve">СССР отметил </w:t>
      </w:r>
      <w:r w:rsidR="00E56FFB">
        <w:t xml:space="preserve">четыре юбилейных даты Победы. </w:t>
      </w:r>
      <w:r>
        <w:t>За это время</w:t>
      </w:r>
      <w:r w:rsidR="005340D4">
        <w:t xml:space="preserve"> </w:t>
      </w:r>
      <w:r w:rsidR="0015062B">
        <w:t>прои</w:t>
      </w:r>
      <w:r>
        <w:t>зошла</w:t>
      </w:r>
      <w:r w:rsidR="0015062B">
        <w:t xml:space="preserve"> </w:t>
      </w:r>
      <w:r w:rsidR="005340D4">
        <w:t>«</w:t>
      </w:r>
      <w:r w:rsidR="005340D4" w:rsidRPr="000D458E">
        <w:t>постепенная экспансия празднования Дня Победы в символическом пространстве советских юбилеев, начавшаяся в середине</w:t>
      </w:r>
      <w:r>
        <w:t xml:space="preserve"> </w:t>
      </w:r>
      <w:r w:rsidR="005340D4" w:rsidRPr="000D458E">
        <w:t>1960</w:t>
      </w:r>
      <w:r w:rsidR="00057742">
        <w:t>-</w:t>
      </w:r>
      <w:r w:rsidR="005340D4" w:rsidRPr="000D458E">
        <w:t>х</w:t>
      </w:r>
      <w:r>
        <w:t xml:space="preserve"> </w:t>
      </w:r>
      <w:r w:rsidR="005340D4" w:rsidRPr="000D458E">
        <w:t>гг. и завершившаяся к середине</w:t>
      </w:r>
      <w:r>
        <w:t xml:space="preserve"> </w:t>
      </w:r>
      <w:r w:rsidR="005340D4" w:rsidRPr="000D458E">
        <w:t>1980-х гг. его абсолютным доминированием над революционными и иными памятными датами</w:t>
      </w:r>
      <w:r w:rsidR="005340D4">
        <w:t xml:space="preserve">» </w:t>
      </w:r>
      <w:r w:rsidR="00795069">
        <w:rPr>
          <w:rFonts w:cs="Times New Roman"/>
        </w:rPr>
        <w:t>[</w:t>
      </w:r>
      <w:r w:rsidR="00057742">
        <w:t>5:</w:t>
      </w:r>
      <w:r w:rsidR="006A0EF4">
        <w:t> </w:t>
      </w:r>
      <w:r w:rsidR="005340D4">
        <w:t>16</w:t>
      </w:r>
      <w:r w:rsidR="006A0EF4">
        <w:rPr>
          <w:rFonts w:cs="Times New Roman"/>
        </w:rPr>
        <w:t>]</w:t>
      </w:r>
      <w:r w:rsidR="00A55197">
        <w:t>.</w:t>
      </w:r>
      <w:r w:rsidR="003E3647">
        <w:t xml:space="preserve"> </w:t>
      </w:r>
      <w:r w:rsidR="002B30A9">
        <w:t>Однако в</w:t>
      </w:r>
      <w:r w:rsidR="00A55197">
        <w:t xml:space="preserve"> </w:t>
      </w:r>
      <w:r w:rsidR="003E3647">
        <w:t>ряде</w:t>
      </w:r>
      <w:r w:rsidR="00A55197">
        <w:t xml:space="preserve"> стран социалистического лагеря </w:t>
      </w:r>
      <w:r w:rsidR="0015062B">
        <w:t xml:space="preserve">на территории Европы </w:t>
      </w:r>
      <w:r w:rsidR="00795069">
        <w:t xml:space="preserve">процесс </w:t>
      </w:r>
      <w:r w:rsidR="00A55197">
        <w:t xml:space="preserve">шел </w:t>
      </w:r>
      <w:r>
        <w:t xml:space="preserve">несколько </w:t>
      </w:r>
      <w:r w:rsidR="00795069">
        <w:t>иначе</w:t>
      </w:r>
      <w:r w:rsidR="00A55197">
        <w:t xml:space="preserve">. </w:t>
      </w:r>
    </w:p>
    <w:p w14:paraId="474DF1EF" w14:textId="55F0BC04" w:rsidR="009F2EBB" w:rsidRDefault="00624003" w:rsidP="00C416D1">
      <w:pPr>
        <w:spacing w:after="0" w:line="360" w:lineRule="auto"/>
        <w:ind w:firstLine="709"/>
        <w:contextualSpacing/>
        <w:jc w:val="both"/>
      </w:pPr>
      <w:r>
        <w:t xml:space="preserve">В СМИ </w:t>
      </w:r>
      <w:r w:rsidR="00075E3E">
        <w:t xml:space="preserve">ГДР </w:t>
      </w:r>
      <w:r w:rsidR="00C416D1">
        <w:t>празднование</w:t>
      </w:r>
      <w:r w:rsidR="00C416D1">
        <w:t xml:space="preserve"> </w:t>
      </w:r>
      <w:r>
        <w:t>освещалось</w:t>
      </w:r>
      <w:r w:rsidR="00C416D1" w:rsidRPr="00C416D1">
        <w:t xml:space="preserve"> </w:t>
      </w:r>
      <w:r w:rsidR="00C416D1">
        <w:t>широко</w:t>
      </w:r>
      <w:r>
        <w:t>,</w:t>
      </w:r>
      <w:r w:rsidR="003543FA">
        <w:t xml:space="preserve"> </w:t>
      </w:r>
      <w:r>
        <w:t>на уровне правительства предлагалось «</w:t>
      </w:r>
      <w:r w:rsidRPr="00FC75F3">
        <w:t>делать упор на пропаганду значения юбилейной даты в первую очередь среди пре</w:t>
      </w:r>
      <w:r>
        <w:t>д</w:t>
      </w:r>
      <w:r w:rsidRPr="00FC75F3">
        <w:t>ставителей зап</w:t>
      </w:r>
      <w:r>
        <w:t>а</w:t>
      </w:r>
      <w:r w:rsidRPr="00FC75F3">
        <w:t>дных СМИ</w:t>
      </w:r>
      <w:r>
        <w:t xml:space="preserve">» </w:t>
      </w:r>
      <w:r w:rsidR="006A0EF4">
        <w:rPr>
          <w:rFonts w:cs="Times New Roman"/>
        </w:rPr>
        <w:t>[</w:t>
      </w:r>
      <w:r w:rsidR="003E3647">
        <w:t>1:</w:t>
      </w:r>
      <w:r w:rsidR="006A0EF4">
        <w:t> </w:t>
      </w:r>
      <w:r>
        <w:t>78</w:t>
      </w:r>
      <w:r w:rsidR="006A0EF4">
        <w:t> </w:t>
      </w:r>
      <w:r w:rsidR="003E3647">
        <w:t>об.</w:t>
      </w:r>
      <w:r w:rsidR="006A0EF4">
        <w:rPr>
          <w:rFonts w:cs="Times New Roman"/>
        </w:rPr>
        <w:t>]</w:t>
      </w:r>
      <w:r>
        <w:t xml:space="preserve">. </w:t>
      </w:r>
      <w:r w:rsidR="00795069">
        <w:t>Э.</w:t>
      </w:r>
      <w:r w:rsidR="00C416D1">
        <w:t> </w:t>
      </w:r>
      <w:proofErr w:type="spellStart"/>
      <w:r>
        <w:t>Хоннекер</w:t>
      </w:r>
      <w:proofErr w:type="spellEnd"/>
      <w:r>
        <w:t xml:space="preserve"> в выступлениях</w:t>
      </w:r>
      <w:r w:rsidR="003543FA">
        <w:t xml:space="preserve"> </w:t>
      </w:r>
      <w:r>
        <w:t>подчеркивал, что «основное бремя в этой борьбе легло на плечи Советского Союза»</w:t>
      </w:r>
      <w:r w:rsidR="003543FA">
        <w:t>,</w:t>
      </w:r>
      <w:r w:rsidR="00C416D1">
        <w:t xml:space="preserve"> что</w:t>
      </w:r>
      <w:r>
        <w:t xml:space="preserve"> «Победа дала немецкому народу шанс построить новую жизнь</w:t>
      </w:r>
      <w:r w:rsidR="003543FA">
        <w:t>», а</w:t>
      </w:r>
      <w:r>
        <w:t xml:space="preserve"> </w:t>
      </w:r>
      <w:r w:rsidR="003543FA">
        <w:t>«</w:t>
      </w:r>
      <w:r>
        <w:t xml:space="preserve">граждане ГДР никогда не забудут подвига 20 млн павших советских героев» </w:t>
      </w:r>
      <w:r w:rsidR="006A0EF4">
        <w:rPr>
          <w:rFonts w:cs="Times New Roman"/>
        </w:rPr>
        <w:t>[</w:t>
      </w:r>
      <w:r w:rsidR="003E3647">
        <w:t>1:</w:t>
      </w:r>
      <w:r w:rsidR="00B813B6">
        <w:t xml:space="preserve"> </w:t>
      </w:r>
      <w:r>
        <w:t>77</w:t>
      </w:r>
      <w:r w:rsidR="006A0EF4">
        <w:rPr>
          <w:rFonts w:cs="Times New Roman"/>
        </w:rPr>
        <w:t>]</w:t>
      </w:r>
      <w:r>
        <w:t>.</w:t>
      </w:r>
      <w:r w:rsidR="00C20BD5">
        <w:t xml:space="preserve"> В </w:t>
      </w:r>
      <w:r w:rsidR="00A266F4">
        <w:t xml:space="preserve">то </w:t>
      </w:r>
      <w:r w:rsidR="00075E3E">
        <w:t xml:space="preserve">же </w:t>
      </w:r>
      <w:r w:rsidR="00A266F4">
        <w:t xml:space="preserve">время в советских газетах выходили статьи, </w:t>
      </w:r>
      <w:r w:rsidR="00795069">
        <w:t>посвященные</w:t>
      </w:r>
      <w:r w:rsidR="00A266F4">
        <w:t xml:space="preserve"> реваншистски</w:t>
      </w:r>
      <w:r w:rsidR="00795069">
        <w:t>м</w:t>
      </w:r>
      <w:r w:rsidR="00A266F4">
        <w:t xml:space="preserve"> настроения</w:t>
      </w:r>
      <w:r w:rsidR="00795069">
        <w:t>м</w:t>
      </w:r>
      <w:r w:rsidR="00075E3E">
        <w:t xml:space="preserve"> ФРГ</w:t>
      </w:r>
      <w:r w:rsidR="00A266F4">
        <w:t xml:space="preserve">, </w:t>
      </w:r>
      <w:r w:rsidR="00075E3E">
        <w:t xml:space="preserve">но </w:t>
      </w:r>
      <w:r w:rsidR="00A266F4">
        <w:t xml:space="preserve">в </w:t>
      </w:r>
      <w:r w:rsidR="00C20BD5">
        <w:t xml:space="preserve">своих выступлениях и глава ГДР, и другие руководители затрагивали </w:t>
      </w:r>
      <w:r w:rsidR="00A266F4">
        <w:t>эту тему аккуратно</w:t>
      </w:r>
      <w:r w:rsidR="00C20BD5">
        <w:t>, не вступая</w:t>
      </w:r>
      <w:r w:rsidR="00A266F4">
        <w:t xml:space="preserve"> </w:t>
      </w:r>
      <w:r w:rsidR="00C20BD5">
        <w:lastRenderedPageBreak/>
        <w:t xml:space="preserve">в </w:t>
      </w:r>
      <w:r w:rsidR="00A266F4">
        <w:t>отрытую</w:t>
      </w:r>
      <w:r w:rsidR="00C20BD5">
        <w:t xml:space="preserve"> полемику </w:t>
      </w:r>
      <w:r w:rsidR="00A266F4">
        <w:t xml:space="preserve">и подчеркивая необходимость развития отношений между двумя Германиями. </w:t>
      </w:r>
      <w:r w:rsidR="00075E3E">
        <w:t>Можно</w:t>
      </w:r>
      <w:r w:rsidR="00A266F4">
        <w:t xml:space="preserve"> говорить о том, что ГДР, будучи приверженной идеям социализма и призна</w:t>
      </w:r>
      <w:r w:rsidR="00B813B6">
        <w:t>вая</w:t>
      </w:r>
      <w:r w:rsidR="00A266F4">
        <w:t xml:space="preserve"> роль СССР во Второй мировой войне</w:t>
      </w:r>
      <w:r w:rsidR="00075E3E">
        <w:t>,</w:t>
      </w:r>
      <w:r w:rsidR="00A266F4">
        <w:t xml:space="preserve"> в </w:t>
      </w:r>
      <w:r w:rsidR="00176551">
        <w:t>пространстве публичного диалога</w:t>
      </w:r>
      <w:r w:rsidR="00075E3E">
        <w:t xml:space="preserve"> все же</w:t>
      </w:r>
      <w:r w:rsidR="00A266F4">
        <w:t xml:space="preserve"> </w:t>
      </w:r>
      <w:r w:rsidR="00075E3E">
        <w:t xml:space="preserve">старалась </w:t>
      </w:r>
      <w:r w:rsidR="00A266F4">
        <w:t xml:space="preserve">удержать баланс в отношениях </w:t>
      </w:r>
      <w:r w:rsidR="00176551">
        <w:t xml:space="preserve">и </w:t>
      </w:r>
      <w:r w:rsidR="00A266F4">
        <w:t>с Москвой</w:t>
      </w:r>
      <w:r w:rsidR="00176551">
        <w:t>,</w:t>
      </w:r>
      <w:r w:rsidR="00A266F4">
        <w:t xml:space="preserve"> и </w:t>
      </w:r>
      <w:r w:rsidR="00176551">
        <w:t xml:space="preserve">с </w:t>
      </w:r>
      <w:r w:rsidR="00A266F4">
        <w:t>Бонном.</w:t>
      </w:r>
      <w:r w:rsidR="00C416D1">
        <w:t xml:space="preserve"> </w:t>
      </w:r>
    </w:p>
    <w:p w14:paraId="7C738F4C" w14:textId="0F69D95F" w:rsidR="00831DB3" w:rsidRDefault="00B813B6" w:rsidP="00C416D1">
      <w:pPr>
        <w:spacing w:after="0" w:line="360" w:lineRule="auto"/>
        <w:ind w:firstLine="709"/>
        <w:contextualSpacing/>
        <w:jc w:val="both"/>
      </w:pPr>
      <w:r>
        <w:t>В</w:t>
      </w:r>
      <w:r w:rsidR="009F2EBB">
        <w:t xml:space="preserve"> Венгрии </w:t>
      </w:r>
      <w:r w:rsidR="009335FA">
        <w:t>в</w:t>
      </w:r>
      <w:r>
        <w:t xml:space="preserve"> год 40-летия Победы </w:t>
      </w:r>
      <w:r w:rsidR="009F2EBB">
        <w:t>вышло постановлению ЦК ВСРП, обязыва</w:t>
      </w:r>
      <w:r w:rsidR="003543FA">
        <w:t>ющее</w:t>
      </w:r>
      <w:r w:rsidR="009F2EBB">
        <w:t xml:space="preserve"> в</w:t>
      </w:r>
      <w:r w:rsidR="009F2EBB" w:rsidRPr="00E61B19">
        <w:t xml:space="preserve">се массовые и общественные организации, промышленные предприятия и учреждения, органы массовой информации разработать </w:t>
      </w:r>
      <w:r w:rsidR="009F2EBB">
        <w:t>«</w:t>
      </w:r>
      <w:r w:rsidR="009F2EBB" w:rsidRPr="00E61B19">
        <w:t xml:space="preserve">конкретную программу подготовки к юбилею, показать историческую значимость перемен, произошедших за годы </w:t>
      </w:r>
      <w:r w:rsidRPr="00E61B19">
        <w:t>социалистического</w:t>
      </w:r>
      <w:r w:rsidR="009F2EBB" w:rsidRPr="00E61B19">
        <w:t xml:space="preserve"> строительства в стране</w:t>
      </w:r>
      <w:r w:rsidR="00075E3E">
        <w:t xml:space="preserve">» </w:t>
      </w:r>
      <w:r w:rsidR="006A0EF4">
        <w:rPr>
          <w:rFonts w:cs="Times New Roman"/>
        </w:rPr>
        <w:t>[</w:t>
      </w:r>
      <w:r>
        <w:t>1:</w:t>
      </w:r>
      <w:r w:rsidR="006A0EF4">
        <w:t> </w:t>
      </w:r>
      <w:r w:rsidR="009F2EBB">
        <w:t>80</w:t>
      </w:r>
      <w:r w:rsidR="006A0EF4">
        <w:rPr>
          <w:rFonts w:cs="Times New Roman"/>
        </w:rPr>
        <w:t>]</w:t>
      </w:r>
      <w:r w:rsidR="009F2EBB">
        <w:t xml:space="preserve">. Члены политбюро </w:t>
      </w:r>
      <w:r w:rsidR="006A4524">
        <w:t>публично</w:t>
      </w:r>
      <w:r w:rsidR="009F2EBB">
        <w:t xml:space="preserve"> отмечали «важность сотрудничества Венгрии с братскими социалистическими странами в борьбе за мир и разрядку» </w:t>
      </w:r>
      <w:r w:rsidR="006A0EF4">
        <w:rPr>
          <w:rFonts w:cs="Times New Roman"/>
        </w:rPr>
        <w:t>[</w:t>
      </w:r>
      <w:r>
        <w:t>1:</w:t>
      </w:r>
      <w:r w:rsidR="006A0EF4">
        <w:t> </w:t>
      </w:r>
      <w:r w:rsidR="009F2EBB">
        <w:t>80</w:t>
      </w:r>
      <w:r w:rsidR="006A0EF4">
        <w:t> </w:t>
      </w:r>
      <w:r w:rsidR="009F2EBB">
        <w:t>об</w:t>
      </w:r>
      <w:r>
        <w:t>.</w:t>
      </w:r>
      <w:r w:rsidR="006A0EF4">
        <w:rPr>
          <w:rFonts w:cs="Times New Roman"/>
        </w:rPr>
        <w:t>]</w:t>
      </w:r>
      <w:r w:rsidR="009F2EBB">
        <w:t xml:space="preserve">. Тем временем на телеэкраны вышел фильм о действиях </w:t>
      </w:r>
      <w:r>
        <w:t>2-й</w:t>
      </w:r>
      <w:r w:rsidR="009F2EBB">
        <w:t xml:space="preserve"> венгерской армии на Дону, </w:t>
      </w:r>
      <w:r>
        <w:t>герои которого утверждали, что</w:t>
      </w:r>
      <w:r w:rsidR="009F2EBB">
        <w:t xml:space="preserve"> солдаты выполняли приказ</w:t>
      </w:r>
      <w:r w:rsidR="00C416D1">
        <w:t>,</w:t>
      </w:r>
      <w:r w:rsidR="009F2EBB">
        <w:t xml:space="preserve"> «продиктованный историческими обстоятельствами и политикой правящих кругов», </w:t>
      </w:r>
      <w:r w:rsidR="00795069">
        <w:t xml:space="preserve">а </w:t>
      </w:r>
      <w:r w:rsidR="009F2EBB">
        <w:t xml:space="preserve">причины поражения герои картины находили в том, что венгерская армия была </w:t>
      </w:r>
      <w:r w:rsidR="00831DB3">
        <w:t>«</w:t>
      </w:r>
      <w:r w:rsidR="009F2EBB">
        <w:t>слабо вооружена, а советские войска имели явное превосходство</w:t>
      </w:r>
      <w:r w:rsidR="00831DB3">
        <w:t>»</w:t>
      </w:r>
      <w:r>
        <w:t xml:space="preserve"> </w:t>
      </w:r>
      <w:r w:rsidR="006A0EF4">
        <w:rPr>
          <w:rFonts w:cs="Times New Roman"/>
        </w:rPr>
        <w:t>[</w:t>
      </w:r>
      <w:r>
        <w:t>1: 81 об.</w:t>
      </w:r>
      <w:r w:rsidR="006A0EF4">
        <w:rPr>
          <w:rFonts w:cs="Times New Roman"/>
        </w:rPr>
        <w:t>]</w:t>
      </w:r>
      <w:r w:rsidR="009F2EBB">
        <w:t xml:space="preserve">. </w:t>
      </w:r>
      <w:r w:rsidR="00C42C72">
        <w:t>С</w:t>
      </w:r>
      <w:r w:rsidR="00176551">
        <w:t xml:space="preserve">пустя 40 лет после </w:t>
      </w:r>
      <w:r w:rsidR="00200C91">
        <w:t xml:space="preserve">окончания </w:t>
      </w:r>
      <w:r w:rsidR="00176551">
        <w:t>войны</w:t>
      </w:r>
      <w:r w:rsidR="001C2623">
        <w:t xml:space="preserve"> </w:t>
      </w:r>
      <w:r w:rsidR="003543FA">
        <w:t xml:space="preserve">Венгрия </w:t>
      </w:r>
      <w:r w:rsidR="001C2623">
        <w:t>начала осторожно пересматривать свою роль в конфликте</w:t>
      </w:r>
      <w:r w:rsidR="00C42C72">
        <w:t xml:space="preserve">, чтобы постепенно сменить фокус и спустя еще </w:t>
      </w:r>
      <w:r w:rsidR="00795069">
        <w:t>некоторое</w:t>
      </w:r>
      <w:r w:rsidR="00C42C72">
        <w:t xml:space="preserve"> время представлять Красную Армию не как освободителя, а как оккупанта </w:t>
      </w:r>
      <w:r w:rsidR="006A0EF4">
        <w:rPr>
          <w:rFonts w:cs="Times New Roman"/>
        </w:rPr>
        <w:t>[</w:t>
      </w:r>
      <w:r w:rsidR="00C42C72">
        <w:t>3: 46</w:t>
      </w:r>
      <w:r w:rsidR="006A0EF4">
        <w:rPr>
          <w:rFonts w:cs="Times New Roman"/>
        </w:rPr>
        <w:t>]</w:t>
      </w:r>
      <w:r w:rsidR="00C42C72">
        <w:t>.</w:t>
      </w:r>
    </w:p>
    <w:p w14:paraId="053A8D19" w14:textId="6691E988" w:rsidR="000D03A5" w:rsidRDefault="00C72E48" w:rsidP="00C416D1">
      <w:pPr>
        <w:spacing w:after="0" w:line="360" w:lineRule="auto"/>
        <w:ind w:firstLine="709"/>
        <w:contextualSpacing/>
        <w:jc w:val="both"/>
      </w:pPr>
      <w:r>
        <w:t>В румынской историографии пересмотр событий Второй мировой войны и роли Румынии был инициирован Н.</w:t>
      </w:r>
      <w:r w:rsidR="00C416D1">
        <w:t> </w:t>
      </w:r>
      <w:r>
        <w:t>Чаушеску с середины 1960-х</w:t>
      </w:r>
      <w:r w:rsidR="00C416D1">
        <w:t> </w:t>
      </w:r>
      <w:r>
        <w:t>гг., поэтому к 1985</w:t>
      </w:r>
      <w:r w:rsidR="00C416D1">
        <w:t> </w:t>
      </w:r>
      <w:r>
        <w:t>г</w:t>
      </w:r>
      <w:r w:rsidR="00C416D1">
        <w:t>.</w:t>
      </w:r>
      <w:r>
        <w:t xml:space="preserve"> румынские СМИ опирались на большое количество монографий и статей, написанных </w:t>
      </w:r>
      <w:r w:rsidR="00795069">
        <w:t xml:space="preserve">историками </w:t>
      </w:r>
      <w:r>
        <w:t xml:space="preserve">в соответствии с новыми </w:t>
      </w:r>
      <w:r w:rsidR="000E7F74">
        <w:t>установками</w:t>
      </w:r>
      <w:r w:rsidR="00980328">
        <w:t xml:space="preserve"> </w:t>
      </w:r>
      <w:r w:rsidR="006A0EF4">
        <w:rPr>
          <w:rFonts w:cs="Times New Roman"/>
        </w:rPr>
        <w:t>[</w:t>
      </w:r>
      <w:r w:rsidR="00C42C72">
        <w:t xml:space="preserve">4: </w:t>
      </w:r>
      <w:r w:rsidR="00A61384">
        <w:t>131</w:t>
      </w:r>
      <w:r w:rsidR="00C42C72">
        <w:t>–</w:t>
      </w:r>
      <w:r w:rsidR="00A61384">
        <w:t>132</w:t>
      </w:r>
      <w:r w:rsidR="006A0EF4">
        <w:rPr>
          <w:rFonts w:cs="Times New Roman"/>
        </w:rPr>
        <w:t>]</w:t>
      </w:r>
      <w:r w:rsidR="000E7F74">
        <w:t xml:space="preserve">. По свидетельствам </w:t>
      </w:r>
      <w:proofErr w:type="spellStart"/>
      <w:r w:rsidR="000E7F74">
        <w:t>тассовцев</w:t>
      </w:r>
      <w:proofErr w:type="spellEnd"/>
      <w:r w:rsidR="000E7F74">
        <w:t>, в румынской печати почти не было публикаций о приближающейся годовщине Победы над фашистской Германией</w:t>
      </w:r>
      <w:r w:rsidR="00795069">
        <w:t>, однако о</w:t>
      </w:r>
      <w:r w:rsidR="000E7F74">
        <w:t xml:space="preserve">собого внимания заслуживает обзор книг. </w:t>
      </w:r>
      <w:r w:rsidR="00075E3E">
        <w:t xml:space="preserve">Оценивая </w:t>
      </w:r>
      <w:r w:rsidR="00334C5D">
        <w:t>предвоенн</w:t>
      </w:r>
      <w:r w:rsidR="00075E3E">
        <w:t xml:space="preserve">ую </w:t>
      </w:r>
      <w:r w:rsidR="00334C5D">
        <w:t>ситуаци</w:t>
      </w:r>
      <w:r w:rsidR="00075E3E">
        <w:t>ю,</w:t>
      </w:r>
      <w:r w:rsidR="00334C5D">
        <w:t xml:space="preserve"> академик Ш.</w:t>
      </w:r>
      <w:r w:rsidR="00C416D1">
        <w:t> </w:t>
      </w:r>
      <w:r w:rsidR="00334C5D">
        <w:t>Паску в книге «Независимость Румынии»</w:t>
      </w:r>
      <w:r w:rsidR="00075E3E">
        <w:t xml:space="preserve"> писал, что страна</w:t>
      </w:r>
      <w:r w:rsidR="00334C5D">
        <w:t xml:space="preserve"> </w:t>
      </w:r>
      <w:r w:rsidR="00075E3E">
        <w:t>«</w:t>
      </w:r>
      <w:r w:rsidR="000E7F74">
        <w:t xml:space="preserve">оказалась одна, без какой-либо помощи извне, брошенная </w:t>
      </w:r>
      <w:r w:rsidR="000E7F74">
        <w:lastRenderedPageBreak/>
        <w:t>всеми европейскими державами…</w:t>
      </w:r>
      <w:r w:rsidR="00075E3E">
        <w:t>»</w:t>
      </w:r>
      <w:r w:rsidR="00C416D1">
        <w:t>, поэтому</w:t>
      </w:r>
      <w:r w:rsidR="00075E3E">
        <w:t xml:space="preserve"> «в</w:t>
      </w:r>
      <w:r w:rsidR="000E7F74">
        <w:t xml:space="preserve"> таких условиях она, вопреки воле народа, была вовлечена в несправедливую войну, развязанную нацистским рейхом против Советского Союза» </w:t>
      </w:r>
      <w:r w:rsidR="006A0EF4">
        <w:rPr>
          <w:rFonts w:cs="Times New Roman"/>
        </w:rPr>
        <w:t>[</w:t>
      </w:r>
      <w:r w:rsidR="00C42C72">
        <w:t>2:</w:t>
      </w:r>
      <w:r w:rsidR="006A0EF4">
        <w:t> </w:t>
      </w:r>
      <w:r w:rsidR="000E7F74">
        <w:t>177</w:t>
      </w:r>
      <w:r w:rsidR="006A0EF4">
        <w:rPr>
          <w:rFonts w:cs="Times New Roman"/>
        </w:rPr>
        <w:t>]</w:t>
      </w:r>
      <w:r w:rsidR="006A4524">
        <w:t>.</w:t>
      </w:r>
      <w:r w:rsidR="00334C5D">
        <w:t xml:space="preserve"> </w:t>
      </w:r>
      <w:r w:rsidR="000E7F74">
        <w:t>И.</w:t>
      </w:r>
      <w:r w:rsidR="00C416D1">
        <w:t> </w:t>
      </w:r>
      <w:r w:rsidR="000E7F74">
        <w:t>Чаушеску, Ф.</w:t>
      </w:r>
      <w:r w:rsidR="00C416D1">
        <w:t> </w:t>
      </w:r>
      <w:proofErr w:type="spellStart"/>
      <w:r w:rsidR="000E7F74">
        <w:t>Константиниу</w:t>
      </w:r>
      <w:proofErr w:type="spellEnd"/>
      <w:r w:rsidR="000E7F74">
        <w:t xml:space="preserve"> и М.</w:t>
      </w:r>
      <w:r w:rsidR="00C416D1">
        <w:t> </w:t>
      </w:r>
      <w:r w:rsidR="000E7F74">
        <w:t xml:space="preserve">Ионеску </w:t>
      </w:r>
      <w:r w:rsidR="00334C5D">
        <w:t xml:space="preserve">в книге </w:t>
      </w:r>
      <w:r w:rsidR="000E7F74">
        <w:t>«На 200 дней раньше»</w:t>
      </w:r>
      <w:r w:rsidR="00334C5D">
        <w:t xml:space="preserve"> доказыва</w:t>
      </w:r>
      <w:r w:rsidR="003543FA">
        <w:t>ли</w:t>
      </w:r>
      <w:r w:rsidR="00334C5D">
        <w:t xml:space="preserve">, что </w:t>
      </w:r>
      <w:r w:rsidR="00334C5D" w:rsidRPr="00334C5D">
        <w:t>«путе</w:t>
      </w:r>
      <w:r w:rsidR="00334C5D">
        <w:t>м</w:t>
      </w:r>
      <w:r w:rsidR="00334C5D" w:rsidRPr="00334C5D">
        <w:t xml:space="preserve"> решительного акта </w:t>
      </w:r>
      <w:r w:rsidR="00334C5D">
        <w:t>национального</w:t>
      </w:r>
      <w:r w:rsidR="00334C5D" w:rsidRPr="00334C5D">
        <w:t xml:space="preserve"> самоопределения 23 августа 1944</w:t>
      </w:r>
      <w:r w:rsidR="003543FA">
        <w:t> </w:t>
      </w:r>
      <w:r w:rsidR="00334C5D" w:rsidRPr="00334C5D">
        <w:t xml:space="preserve">года Румыния сократила длительность </w:t>
      </w:r>
      <w:r w:rsidR="00C416D1">
        <w:t>В</w:t>
      </w:r>
      <w:r w:rsidR="00334C5D" w:rsidRPr="00334C5D">
        <w:t>торой мировой во</w:t>
      </w:r>
      <w:r w:rsidR="00334C5D">
        <w:t>й</w:t>
      </w:r>
      <w:r w:rsidR="00334C5D" w:rsidRPr="00334C5D">
        <w:t>ны почти на 200 дней</w:t>
      </w:r>
      <w:r w:rsidR="00334C5D">
        <w:t xml:space="preserve">» </w:t>
      </w:r>
      <w:r w:rsidR="006A0EF4">
        <w:rPr>
          <w:rFonts w:cs="Times New Roman"/>
        </w:rPr>
        <w:t>[</w:t>
      </w:r>
      <w:r w:rsidR="00C42C72">
        <w:t>2:</w:t>
      </w:r>
      <w:r w:rsidR="00C416D1">
        <w:t> </w:t>
      </w:r>
      <w:r w:rsidR="00334C5D">
        <w:t>178</w:t>
      </w:r>
      <w:r w:rsidR="006A0EF4">
        <w:rPr>
          <w:rFonts w:cs="Times New Roman"/>
        </w:rPr>
        <w:t>]</w:t>
      </w:r>
      <w:r w:rsidR="00334C5D" w:rsidRPr="00334C5D">
        <w:t xml:space="preserve">. </w:t>
      </w:r>
      <w:r w:rsidR="003543FA">
        <w:t>А</w:t>
      </w:r>
      <w:r w:rsidR="00334C5D" w:rsidRPr="00334C5D">
        <w:t xml:space="preserve">вторы </w:t>
      </w:r>
      <w:r w:rsidR="00334C5D">
        <w:t xml:space="preserve">появившихся вслед за книгой </w:t>
      </w:r>
      <w:r w:rsidR="00334C5D" w:rsidRPr="00334C5D">
        <w:t>публикаци</w:t>
      </w:r>
      <w:r w:rsidR="00334C5D">
        <w:t>й</w:t>
      </w:r>
      <w:r w:rsidR="00334C5D" w:rsidRPr="00334C5D">
        <w:t xml:space="preserve"> оценива</w:t>
      </w:r>
      <w:r w:rsidR="003543FA">
        <w:t>ли</w:t>
      </w:r>
      <w:r w:rsidR="00334C5D" w:rsidRPr="00334C5D">
        <w:t xml:space="preserve"> август</w:t>
      </w:r>
      <w:r w:rsidR="00334C5D">
        <w:t>овское</w:t>
      </w:r>
      <w:r w:rsidR="00334C5D" w:rsidRPr="00334C5D">
        <w:t xml:space="preserve"> вос</w:t>
      </w:r>
      <w:r w:rsidR="00334C5D">
        <w:t>с</w:t>
      </w:r>
      <w:r w:rsidR="00334C5D" w:rsidRPr="00334C5D">
        <w:t xml:space="preserve">тание как «одно из решающих событий </w:t>
      </w:r>
      <w:r w:rsidR="00C416D1">
        <w:t>В</w:t>
      </w:r>
      <w:r w:rsidR="00334C5D" w:rsidRPr="00334C5D">
        <w:t>торой мировой войны»</w:t>
      </w:r>
      <w:r w:rsidR="003543FA">
        <w:t>, утверждая,</w:t>
      </w:r>
      <w:r w:rsidR="00334C5D" w:rsidRPr="00334C5D">
        <w:t xml:space="preserve"> что «события в Румынии были несравнимо более важными для ускорения окончания войны, чем освобождение Парижа» и </w:t>
      </w:r>
      <w:r w:rsidR="00C42C72">
        <w:t>«</w:t>
      </w:r>
      <w:r w:rsidR="00334C5D" w:rsidRPr="00334C5D">
        <w:t>сравнимы с победой под Сталинградом</w:t>
      </w:r>
      <w:r w:rsidR="00C42C72">
        <w:t>»</w:t>
      </w:r>
      <w:r w:rsidR="00334C5D">
        <w:t xml:space="preserve"> </w:t>
      </w:r>
      <w:r w:rsidR="006A0EF4">
        <w:rPr>
          <w:rFonts w:cs="Times New Roman"/>
        </w:rPr>
        <w:t>[</w:t>
      </w:r>
      <w:r w:rsidR="00C42C72">
        <w:t>2: 1</w:t>
      </w:r>
      <w:r w:rsidR="00334C5D">
        <w:t>78</w:t>
      </w:r>
      <w:r w:rsidR="006A0EF4">
        <w:rPr>
          <w:rFonts w:cs="Times New Roman"/>
        </w:rPr>
        <w:t>]</w:t>
      </w:r>
      <w:r w:rsidR="00334C5D">
        <w:t xml:space="preserve">. </w:t>
      </w:r>
    </w:p>
    <w:p w14:paraId="72261622" w14:textId="1606DDF7" w:rsidR="00305057" w:rsidRDefault="00795069" w:rsidP="00C416D1">
      <w:pPr>
        <w:spacing w:after="0" w:line="360" w:lineRule="auto"/>
        <w:ind w:firstLine="709"/>
        <w:contextualSpacing/>
        <w:jc w:val="both"/>
      </w:pPr>
      <w:r>
        <w:t>Можно сказать</w:t>
      </w:r>
      <w:r w:rsidR="006A4524">
        <w:t>, что п</w:t>
      </w:r>
      <w:r w:rsidR="000D03A5">
        <w:t>амят</w:t>
      </w:r>
      <w:r w:rsidR="003543FA">
        <w:t>ь</w:t>
      </w:r>
      <w:r w:rsidR="000D03A5">
        <w:t xml:space="preserve"> о войне и Победе</w:t>
      </w:r>
      <w:r w:rsidR="006A4524">
        <w:t xml:space="preserve"> </w:t>
      </w:r>
      <w:r w:rsidR="000D03A5">
        <w:t>с каждым юбилейным годом проходит все более жесткую проверку на прочность и все более нуждается во внимании ученых и журналистов.</w:t>
      </w:r>
    </w:p>
    <w:p w14:paraId="3CB5A1A9" w14:textId="77777777" w:rsidR="00C416D1" w:rsidRDefault="00C416D1" w:rsidP="00C416D1">
      <w:pPr>
        <w:spacing w:after="0" w:line="360" w:lineRule="auto"/>
        <w:ind w:firstLine="709"/>
        <w:contextualSpacing/>
        <w:jc w:val="both"/>
      </w:pPr>
    </w:p>
    <w:p w14:paraId="499300EF" w14:textId="48032BD7" w:rsidR="00980328" w:rsidRDefault="0023425A" w:rsidP="00C416D1">
      <w:pPr>
        <w:spacing w:after="0" w:line="360" w:lineRule="auto"/>
        <w:ind w:firstLine="709"/>
        <w:contextualSpacing/>
        <w:jc w:val="both"/>
      </w:pPr>
      <w:r>
        <w:t>Литература</w:t>
      </w:r>
    </w:p>
    <w:p w14:paraId="1F060D65" w14:textId="7E4319C3" w:rsidR="00A61384" w:rsidRDefault="00795069" w:rsidP="00C416D1">
      <w:pPr>
        <w:spacing w:after="0" w:line="360" w:lineRule="auto"/>
        <w:ind w:firstLine="709"/>
        <w:contextualSpacing/>
        <w:jc w:val="both"/>
      </w:pPr>
      <w:r>
        <w:t>1.</w:t>
      </w:r>
      <w:r w:rsidR="00C416D1">
        <w:t> </w:t>
      </w:r>
      <w:r w:rsidR="00A61384">
        <w:t xml:space="preserve">ГА РФ. Ф. 4459. Оп. 45. Д. 28. Информационные письма корреспондентов ТАСС. № 6. </w:t>
      </w:r>
      <w:r w:rsidR="003E3647">
        <w:t>Л</w:t>
      </w:r>
      <w:r w:rsidR="00A61384">
        <w:t>. 77–83.</w:t>
      </w:r>
    </w:p>
    <w:p w14:paraId="7202FFE8" w14:textId="79FAC359" w:rsidR="00A61384" w:rsidRDefault="00795069" w:rsidP="00C416D1">
      <w:pPr>
        <w:spacing w:after="0" w:line="360" w:lineRule="auto"/>
        <w:ind w:firstLine="709"/>
        <w:contextualSpacing/>
        <w:jc w:val="both"/>
      </w:pPr>
      <w:r>
        <w:t>2. </w:t>
      </w:r>
      <w:r w:rsidR="00A61384">
        <w:t xml:space="preserve">ГА РФ. Ф. 4459. Оп. 45. Д. 28. Информационные письма корреспондентов ТАСС. № 12. </w:t>
      </w:r>
      <w:r w:rsidR="003E3647">
        <w:t>Л</w:t>
      </w:r>
      <w:r w:rsidR="00A61384">
        <w:t>. 177–180.</w:t>
      </w:r>
    </w:p>
    <w:p w14:paraId="33FD1307" w14:textId="176B3036" w:rsidR="00305057" w:rsidRDefault="00795069" w:rsidP="00C416D1">
      <w:pPr>
        <w:spacing w:after="0" w:line="360" w:lineRule="auto"/>
        <w:ind w:firstLine="709"/>
        <w:contextualSpacing/>
        <w:jc w:val="both"/>
      </w:pPr>
      <w:r>
        <w:t>3.</w:t>
      </w:r>
      <w:r w:rsidR="00C416D1">
        <w:t> </w:t>
      </w:r>
      <w:r w:rsidR="00C42C72" w:rsidRPr="00C42C72">
        <w:t>Короткова</w:t>
      </w:r>
      <w:r w:rsidR="00C416D1">
        <w:t> </w:t>
      </w:r>
      <w:r w:rsidR="00C42C72" w:rsidRPr="00C42C72">
        <w:t>Л.</w:t>
      </w:r>
      <w:r w:rsidR="00C416D1">
        <w:t> </w:t>
      </w:r>
      <w:r w:rsidR="00C42C72" w:rsidRPr="00C42C72">
        <w:t>Г.</w:t>
      </w:r>
      <w:r w:rsidR="00C416D1">
        <w:t>, Свечников Д. Д.</w:t>
      </w:r>
      <w:r w:rsidR="00C42C72" w:rsidRPr="00C42C72">
        <w:t xml:space="preserve"> Освобождение Венгрии Красной армией: оценки и суждения // Оригинальные исследования. 2021. Т.</w:t>
      </w:r>
      <w:r w:rsidR="00C416D1">
        <w:t> </w:t>
      </w:r>
      <w:r w:rsidR="00C42C72" w:rsidRPr="00C42C72">
        <w:t>11</w:t>
      </w:r>
      <w:r w:rsidR="00C416D1">
        <w:t>.</w:t>
      </w:r>
      <w:r w:rsidR="00C42C72" w:rsidRPr="00C42C72">
        <w:t xml:space="preserve"> №</w:t>
      </w:r>
      <w:r w:rsidR="00C416D1">
        <w:t> </w:t>
      </w:r>
      <w:r w:rsidR="00C42C72" w:rsidRPr="00C42C72">
        <w:t>9. С.</w:t>
      </w:r>
      <w:r w:rsidR="00C416D1">
        <w:t> </w:t>
      </w:r>
      <w:r w:rsidR="00C42C72" w:rsidRPr="00C42C72">
        <w:t>43–52</w:t>
      </w:r>
      <w:r w:rsidR="00305057">
        <w:t xml:space="preserve">. </w:t>
      </w:r>
    </w:p>
    <w:p w14:paraId="547EEDCF" w14:textId="052406F0" w:rsidR="00305057" w:rsidRDefault="00795069" w:rsidP="00C416D1">
      <w:pPr>
        <w:spacing w:after="0" w:line="360" w:lineRule="auto"/>
        <w:ind w:firstLine="709"/>
        <w:contextualSpacing/>
        <w:jc w:val="both"/>
      </w:pPr>
      <w:r>
        <w:t>4.</w:t>
      </w:r>
      <w:r w:rsidR="00C416D1">
        <w:t> </w:t>
      </w:r>
      <w:proofErr w:type="spellStart"/>
      <w:r w:rsidR="00305057" w:rsidRPr="00A61384">
        <w:t>Покивайлова</w:t>
      </w:r>
      <w:proofErr w:type="spellEnd"/>
      <w:r w:rsidR="00C416D1">
        <w:t> </w:t>
      </w:r>
      <w:r w:rsidR="00305057" w:rsidRPr="00A61384">
        <w:t>Т.</w:t>
      </w:r>
      <w:r w:rsidR="00305057">
        <w:t> </w:t>
      </w:r>
      <w:r w:rsidR="00305057" w:rsidRPr="00A61384">
        <w:t>А. Румыния во Второй мировой войне в румынской историографии // Новая и новейшая история. 2014. №</w:t>
      </w:r>
      <w:r w:rsidR="00C416D1">
        <w:t> </w:t>
      </w:r>
      <w:r w:rsidR="00305057" w:rsidRPr="00A61384">
        <w:t>5. С.</w:t>
      </w:r>
      <w:r w:rsidR="00C416D1">
        <w:t> </w:t>
      </w:r>
      <w:r w:rsidR="00305057" w:rsidRPr="00A61384">
        <w:t>126</w:t>
      </w:r>
      <w:r w:rsidR="00305057">
        <w:t>–</w:t>
      </w:r>
      <w:r w:rsidR="00305057" w:rsidRPr="00A61384">
        <w:t>142.</w:t>
      </w:r>
    </w:p>
    <w:p w14:paraId="672814FE" w14:textId="48EE37AE" w:rsidR="000D03A5" w:rsidRDefault="00795069" w:rsidP="00C416D1">
      <w:pPr>
        <w:spacing w:after="0" w:line="360" w:lineRule="auto"/>
        <w:ind w:firstLine="709"/>
        <w:contextualSpacing/>
        <w:jc w:val="both"/>
      </w:pPr>
      <w:r>
        <w:t>5.</w:t>
      </w:r>
      <w:r w:rsidR="00C416D1">
        <w:t> </w:t>
      </w:r>
      <w:r w:rsidR="00980328" w:rsidRPr="00980328">
        <w:t>Попов</w:t>
      </w:r>
      <w:r w:rsidR="00C416D1">
        <w:t> </w:t>
      </w:r>
      <w:r w:rsidR="00980328" w:rsidRPr="00980328">
        <w:t>А</w:t>
      </w:r>
      <w:r w:rsidR="00980328">
        <w:t>.</w:t>
      </w:r>
      <w:r w:rsidR="00A61384">
        <w:t> </w:t>
      </w:r>
      <w:r w:rsidR="00980328" w:rsidRPr="00980328">
        <w:t>Д</w:t>
      </w:r>
      <w:r w:rsidR="00980328">
        <w:t>.</w:t>
      </w:r>
      <w:r w:rsidR="00980328" w:rsidRPr="00980328">
        <w:t xml:space="preserve"> Празднование 40-летия Победы и тенденции развития исторической памяти о Великой Отечественной войне в последнее советское десятилетие // Российские регионы: взгляд в будущее. 2018. №</w:t>
      </w:r>
      <w:r w:rsidR="00C416D1">
        <w:t> </w:t>
      </w:r>
      <w:r w:rsidR="00980328" w:rsidRPr="00980328">
        <w:t>2.</w:t>
      </w:r>
      <w:r w:rsidR="00C416D1">
        <w:t xml:space="preserve"> </w:t>
      </w:r>
      <w:r w:rsidR="00980328">
        <w:t>С.</w:t>
      </w:r>
      <w:r w:rsidR="00A61384">
        <w:t> </w:t>
      </w:r>
      <w:r w:rsidR="00980328">
        <w:t>15–34.</w:t>
      </w:r>
    </w:p>
    <w:sectPr w:rsidR="000D03A5" w:rsidSect="00816DFB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73"/>
    <w:rsid w:val="00044B8B"/>
    <w:rsid w:val="00057742"/>
    <w:rsid w:val="00075E3E"/>
    <w:rsid w:val="000A643D"/>
    <w:rsid w:val="000D03A5"/>
    <w:rsid w:val="000D458E"/>
    <w:rsid w:val="000E7F74"/>
    <w:rsid w:val="0015062B"/>
    <w:rsid w:val="00176551"/>
    <w:rsid w:val="001C0504"/>
    <w:rsid w:val="001C2623"/>
    <w:rsid w:val="00200C91"/>
    <w:rsid w:val="00221A94"/>
    <w:rsid w:val="0023425A"/>
    <w:rsid w:val="0024702D"/>
    <w:rsid w:val="002B30A9"/>
    <w:rsid w:val="00305057"/>
    <w:rsid w:val="00334C5D"/>
    <w:rsid w:val="003543FA"/>
    <w:rsid w:val="003E3647"/>
    <w:rsid w:val="004D1E11"/>
    <w:rsid w:val="00507A77"/>
    <w:rsid w:val="005340D4"/>
    <w:rsid w:val="006213C3"/>
    <w:rsid w:val="00624003"/>
    <w:rsid w:val="00646FC1"/>
    <w:rsid w:val="006A0EF4"/>
    <w:rsid w:val="006A4524"/>
    <w:rsid w:val="006C0B77"/>
    <w:rsid w:val="006E658F"/>
    <w:rsid w:val="00765191"/>
    <w:rsid w:val="00772E4C"/>
    <w:rsid w:val="00795069"/>
    <w:rsid w:val="00795405"/>
    <w:rsid w:val="00816DFB"/>
    <w:rsid w:val="008242FF"/>
    <w:rsid w:val="00831DB3"/>
    <w:rsid w:val="0085399D"/>
    <w:rsid w:val="00870751"/>
    <w:rsid w:val="008F26E4"/>
    <w:rsid w:val="00922C48"/>
    <w:rsid w:val="009335FA"/>
    <w:rsid w:val="00980328"/>
    <w:rsid w:val="009A000A"/>
    <w:rsid w:val="009B31A7"/>
    <w:rsid w:val="009F2EBB"/>
    <w:rsid w:val="00A266F4"/>
    <w:rsid w:val="00A55197"/>
    <w:rsid w:val="00A61384"/>
    <w:rsid w:val="00A63C1F"/>
    <w:rsid w:val="00A93E97"/>
    <w:rsid w:val="00AA1373"/>
    <w:rsid w:val="00B02A0E"/>
    <w:rsid w:val="00B610C8"/>
    <w:rsid w:val="00B7136D"/>
    <w:rsid w:val="00B813B6"/>
    <w:rsid w:val="00B915B7"/>
    <w:rsid w:val="00BB3E75"/>
    <w:rsid w:val="00BB7727"/>
    <w:rsid w:val="00BE7010"/>
    <w:rsid w:val="00C20BD5"/>
    <w:rsid w:val="00C32749"/>
    <w:rsid w:val="00C416D1"/>
    <w:rsid w:val="00C42C72"/>
    <w:rsid w:val="00C72E48"/>
    <w:rsid w:val="00C96B62"/>
    <w:rsid w:val="00CD5C69"/>
    <w:rsid w:val="00D0139D"/>
    <w:rsid w:val="00D96FAF"/>
    <w:rsid w:val="00DB0272"/>
    <w:rsid w:val="00DC3AD6"/>
    <w:rsid w:val="00E153CB"/>
    <w:rsid w:val="00E56FFB"/>
    <w:rsid w:val="00E61B19"/>
    <w:rsid w:val="00EA59DF"/>
    <w:rsid w:val="00EE4070"/>
    <w:rsid w:val="00EF1937"/>
    <w:rsid w:val="00F12C76"/>
    <w:rsid w:val="00F55A4A"/>
    <w:rsid w:val="00F659DE"/>
    <w:rsid w:val="00F80E2B"/>
    <w:rsid w:val="00FA1317"/>
    <w:rsid w:val="00FC75F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1904"/>
  <w15:chartTrackingRefBased/>
  <w15:docId w15:val="{7B2A5DE3-1E15-45D0-AA19-D1E0F86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1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3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3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3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3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3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3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3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37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A13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A137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A137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A137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A137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A137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A137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A137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A1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137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A13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37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A1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37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A13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37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37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A137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07A7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5399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1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240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bityutskaya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Битюцкая</dc:creator>
  <cp:keywords/>
  <dc:description/>
  <cp:lastModifiedBy>Александр</cp:lastModifiedBy>
  <cp:revision>32</cp:revision>
  <dcterms:created xsi:type="dcterms:W3CDTF">2025-02-14T10:59:00Z</dcterms:created>
  <dcterms:modified xsi:type="dcterms:W3CDTF">2025-03-19T22:10:00Z</dcterms:modified>
</cp:coreProperties>
</file>