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94E5F" w14:textId="77777777" w:rsidR="000057D6" w:rsidRPr="001A2B85" w:rsidRDefault="003827E9" w:rsidP="001A2B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85">
        <w:rPr>
          <w:rFonts w:ascii="Times New Roman" w:hAnsi="Times New Roman" w:cs="Times New Roman"/>
          <w:sz w:val="28"/>
          <w:szCs w:val="28"/>
        </w:rPr>
        <w:t>Екатерина Дмитриевна Леоненко</w:t>
      </w:r>
    </w:p>
    <w:p w14:paraId="24003DD3" w14:textId="77777777" w:rsidR="003827E9" w:rsidRPr="001A2B85" w:rsidRDefault="003827E9" w:rsidP="001A2B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85">
        <w:rPr>
          <w:rFonts w:ascii="Times New Roman" w:hAnsi="Times New Roman" w:cs="Times New Roman"/>
          <w:sz w:val="28"/>
          <w:szCs w:val="28"/>
        </w:rPr>
        <w:t>Санкт-Петербургский государственный университет</w:t>
      </w:r>
    </w:p>
    <w:p w14:paraId="385091AF" w14:textId="4DA426A6" w:rsidR="003827E9" w:rsidRPr="001A2B85" w:rsidRDefault="00670B67" w:rsidP="001A2B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1C15B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st102905@student.spbu.ru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5F1ABBD" w14:textId="77777777" w:rsidR="003827E9" w:rsidRPr="001A2B85" w:rsidRDefault="003827E9" w:rsidP="001A2B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5617E0" w14:textId="77777777" w:rsidR="003827E9" w:rsidRPr="001A2B85" w:rsidRDefault="003827E9" w:rsidP="001A2B8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A2B8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Поддержка регионального бизнеса как ключевой акцент в медиакоммуникациях маркетплейса</w:t>
      </w:r>
    </w:p>
    <w:p w14:paraId="38DEB847" w14:textId="77777777" w:rsidR="003827E9" w:rsidRPr="001A2B85" w:rsidRDefault="003827E9" w:rsidP="001A2B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35055B5" w14:textId="77777777" w:rsidR="003827E9" w:rsidRPr="001A2B85" w:rsidRDefault="003827E9" w:rsidP="001A2B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Исследование посвящено изучению стремительно развивающегося рынка электронной коммерции в России. Подробно рассмотрен аспект взаимодействия компании-маркетплейса с ключевыми стейкхолдерами в виде малого и среднего бизнеса.</w:t>
      </w:r>
    </w:p>
    <w:p w14:paraId="4BF4D965" w14:textId="77777777" w:rsidR="003827E9" w:rsidRPr="001A2B85" w:rsidRDefault="003827E9" w:rsidP="001A2B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Ключевые слова: электронная коммерция, маркетплейс, продвижение маркетплейсов, малый и средний бизнес, </w:t>
      </w:r>
      <w:proofErr w:type="spellStart"/>
      <w:r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t>Ozon</w:t>
      </w:r>
      <w:proofErr w:type="spellEnd"/>
      <w:r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B44CCF7" w14:textId="77777777" w:rsidR="003827E9" w:rsidRPr="001A2B85" w:rsidRDefault="003827E9" w:rsidP="001A2B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977C7F7" w14:textId="7FABFAB6" w:rsidR="003827E9" w:rsidRPr="001A2B85" w:rsidRDefault="003827E9" w:rsidP="001A2B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маркетплейсы являются динамично развивающимся сегментом бизнеса. По данным Data Insight [1], рынок электронной коммерции </w:t>
      </w:r>
      <w:r w:rsidR="00670B67"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t>в 2023</w:t>
      </w:r>
      <w:r w:rsidR="00670B6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70B67"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670B6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70B67"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t>вырос на 45,1%</w:t>
      </w:r>
      <w:r w:rsidR="00670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t>до 8,3 трлн рублей, а к 2027</w:t>
      </w:r>
      <w:r w:rsidR="00670B67">
        <w:rPr>
          <w:rFonts w:ascii="Times New Roman" w:hAnsi="Times New Roman" w:cs="Times New Roman"/>
          <w:sz w:val="28"/>
          <w:szCs w:val="28"/>
          <w:shd w:val="clear" w:color="auto" w:fill="FFFFFF"/>
        </w:rPr>
        <w:t> г.</w:t>
      </w:r>
      <w:r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вырасти до 24 трлн рублей. Скорость и масштаб развития e-</w:t>
      </w:r>
      <w:proofErr w:type="spellStart"/>
      <w:r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t>commerce</w:t>
      </w:r>
      <w:proofErr w:type="spellEnd"/>
      <w:r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требу</w:t>
      </w:r>
      <w:r w:rsidR="00670B67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t>т соответствующего медийного обеспечения и релевантных медиастратегий, что делает актуальным изучение маркетплейсов [</w:t>
      </w:r>
      <w:r w:rsidR="00670B67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] и их медиакоммуникаций. На примере компании </w:t>
      </w:r>
      <w:proofErr w:type="spellStart"/>
      <w:r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t>Ozon</w:t>
      </w:r>
      <w:proofErr w:type="spellEnd"/>
      <w:r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(второй крупнейший игрок с долей рынка около 20%, уступающий первенство </w:t>
      </w:r>
      <w:proofErr w:type="spellStart"/>
      <w:r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t>Wildberries</w:t>
      </w:r>
      <w:proofErr w:type="spellEnd"/>
      <w:r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 долей рынка около 30% [</w:t>
      </w:r>
      <w:r w:rsidR="00670B67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]), мы рассмотрели </w:t>
      </w:r>
      <w:proofErr w:type="spellStart"/>
      <w:r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медиаприсутствие</w:t>
      </w:r>
      <w:proofErr w:type="spellEnd"/>
      <w:r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компании за период с 01.01.2022 по 01.04.2024. В рамках </w:t>
      </w:r>
      <w:proofErr w:type="spellStart"/>
      <w:r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медиаанализа</w:t>
      </w:r>
      <w:proofErr w:type="spellEnd"/>
      <w:r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определялась тональность публикаций, наличие кризисных информационных поводов, частотность ключевых сообщений и фреймов.</w:t>
      </w:r>
    </w:p>
    <w:p w14:paraId="333F3D53" w14:textId="32BBA5DD" w:rsidR="003827E9" w:rsidRPr="001A2B85" w:rsidRDefault="003827E9" w:rsidP="001A2B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t>Ozon</w:t>
      </w:r>
      <w:proofErr w:type="spellEnd"/>
      <w:r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ежедневно сталкивается с негативными сообщениями в </w:t>
      </w:r>
      <w:proofErr w:type="spellStart"/>
      <w:r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t>инфополе</w:t>
      </w:r>
      <w:proofErr w:type="spellEnd"/>
      <w:r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треть всех </w:t>
      </w:r>
      <w:proofErr w:type="spellStart"/>
      <w:r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медиатекстов</w:t>
      </w:r>
      <w:proofErr w:type="spellEnd"/>
      <w:r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составляет кризисная </w:t>
      </w:r>
      <w:proofErr w:type="spellStart"/>
      <w:r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t>инфоповестка</w:t>
      </w:r>
      <w:proofErr w:type="spellEnd"/>
      <w:r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которая касается всех целевых групп (от сотрудников ПВЗ до селлеров и руководства </w:t>
      </w:r>
      <w:proofErr w:type="spellStart"/>
      <w:r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t>Ozon</w:t>
      </w:r>
      <w:proofErr w:type="spellEnd"/>
      <w:r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При этом больше трети публикаций по тональности позитивны. В кризисном </w:t>
      </w:r>
      <w:r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потоке встречается не только негатив, но и амбивалентность оценок. В целом </w:t>
      </w:r>
      <w:proofErr w:type="spellStart"/>
      <w:r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t>Ozon</w:t>
      </w:r>
      <w:proofErr w:type="spellEnd"/>
      <w:r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успешно стремится к поддержанию положительной репутации.</w:t>
      </w:r>
    </w:p>
    <w:p w14:paraId="1C2076E4" w14:textId="77777777" w:rsidR="003827E9" w:rsidRPr="001A2B85" w:rsidRDefault="003827E9" w:rsidP="001A2B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Исследование показало, что значительная часть ключевых сообщений, транслируемых компанией, затрагивает интересы реальных и потенциальных селлеров, а 24% ключевых месседжей ориентированы непосредственно на предпринимателей как одну из ключевых целевых групп. Среди выявленных в публикациях фреймов 19% также касаются малого и среднего бизнеса (в данном случае </w:t>
      </w:r>
      <w:proofErr w:type="spellStart"/>
      <w:r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t>Ozon</w:t>
      </w:r>
      <w:proofErr w:type="spellEnd"/>
      <w:r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характеризуется как платформа для поддержки малого и среднего предпринимательства). На наш взгляд, это свидетельствует о системном характере выстраивания компанией </w:t>
      </w:r>
      <w:proofErr w:type="spellStart"/>
      <w:r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t>Ozon</w:t>
      </w:r>
      <w:proofErr w:type="spellEnd"/>
      <w:r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B2B-коммуникаций в медиапространстве.</w:t>
      </w:r>
    </w:p>
    <w:p w14:paraId="247DC539" w14:textId="301F234C" w:rsidR="003827E9" w:rsidRPr="001A2B85" w:rsidRDefault="003827E9" w:rsidP="001A2B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 с точки зрения долгосрочной стратегии, данный фрейм нуждается в более широкой и последовательной репрезентации. Дело в том, что одним из очевидных бизнес-рисков предприятий электронной коммерции является нарастание конкуренции маркетплейсов с традиционными розничными площадками. Последние отстаивают свои интересы через отраслевые объединения, подключают каналы GR-коммуникации, предлагая государству усилить регулирование сферы e-</w:t>
      </w:r>
      <w:proofErr w:type="spellStart"/>
      <w:r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t>commerce</w:t>
      </w:r>
      <w:proofErr w:type="spellEnd"/>
      <w:r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может создать более сложные условия для функционирования компаний [</w:t>
      </w:r>
      <w:r w:rsidR="00670B67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t>]. Для того</w:t>
      </w:r>
      <w:r w:rsidR="00670B6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снижать остроту данного риска, компании-маркетплейсу </w:t>
      </w:r>
      <w:proofErr w:type="spellStart"/>
      <w:r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t>Ozon</w:t>
      </w:r>
      <w:proofErr w:type="spellEnd"/>
      <w:r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имеет смысл ярче подчеркивать не всегда очевидную общественности и лицам, принимающим решения, важную социально-экономическую функцию, реализуемую компанией. Фактическая основа для этого есть: маркетплейсы стимулируют рост региональных экономик, способствуют улучшению региональной логистики и инфраструктуры, создают условия для развития малого и среднего бизнеса, позволяют локальному и региональному бизнесу существенно расширять клиентскую базу. Региональные администрации также заинтересованы в функционировании маркетплейсов, способствующих продвижению региона и в качестве субъектов внутреннего туризма.</w:t>
      </w:r>
    </w:p>
    <w:p w14:paraId="0803DE9F" w14:textId="77777777" w:rsidR="003827E9" w:rsidRPr="001A2B85" w:rsidRDefault="003827E9" w:rsidP="001A2B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Таким образом, необходимо, чтобы месседж о поддержке маркетплейсом регионального бизнеса находил постоянное отражение в инициируемых компанией медиакоммуникациях. Кроме того, компании необходимо привлекать </w:t>
      </w:r>
      <w:proofErr w:type="spellStart"/>
      <w:r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t>инфлюэнсеров</w:t>
      </w:r>
      <w:proofErr w:type="spellEnd"/>
      <w:r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регионального бизнеса и региональных администраций, напрямую заинтересованных в улучшении качества жизни в регионах, а также сотрудничать с региональными брендами, что позволит усилить как </w:t>
      </w:r>
      <w:proofErr w:type="spellStart"/>
      <w:r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медиаимидж</w:t>
      </w:r>
      <w:proofErr w:type="spellEnd"/>
      <w:r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t>, так и GR-коммуникацию маркетплейса.</w:t>
      </w:r>
    </w:p>
    <w:p w14:paraId="5511642C" w14:textId="77777777" w:rsidR="00670B67" w:rsidRDefault="00670B67" w:rsidP="001A2B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780351C" w14:textId="5D104AC6" w:rsidR="003827E9" w:rsidRPr="001A2B85" w:rsidRDefault="003827E9" w:rsidP="001A2B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Литература</w:t>
      </w:r>
    </w:p>
    <w:p w14:paraId="2C822141" w14:textId="6C18ED61" w:rsidR="003827E9" w:rsidRPr="00670B67" w:rsidRDefault="003827E9" w:rsidP="001A2B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t>1. Маркетплейсы 2024: тренды, стратегии, точки роста // Data Insight</w:t>
      </w:r>
      <w:r w:rsidR="00670B6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70B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URL: </w:t>
      </w:r>
      <w:hyperlink r:id="rId5" w:history="1">
        <w:r w:rsidR="00670B67" w:rsidRPr="001C15B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https://datainsight.ru/sites/default/files/DI_FedorVirin_SandM_2024.pdf</w:t>
        </w:r>
      </w:hyperlink>
      <w:r w:rsidR="00670B67" w:rsidRPr="00670B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</w:p>
    <w:p w14:paraId="6E99AB14" w14:textId="24C6FECA" w:rsidR="003827E9" w:rsidRPr="00670B67" w:rsidRDefault="00670B67" w:rsidP="001A2B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3827E9"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3827E9"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t>Ozon</w:t>
      </w:r>
      <w:proofErr w:type="spellEnd"/>
      <w:r w:rsidR="003827E9"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есть куда расти — аналитический </w:t>
      </w:r>
      <w:proofErr w:type="gramStart"/>
      <w:r w:rsidR="003827E9"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t>обзор  /</w:t>
      </w:r>
      <w:proofErr w:type="gramEnd"/>
      <w:r w:rsidR="003827E9"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t>/ T-Investments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827E9"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27E9" w:rsidRPr="00670B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URL: </w:t>
      </w:r>
      <w:hyperlink r:id="rId6" w:history="1">
        <w:r w:rsidRPr="001C15B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https://www.tbank.ru/invest/social/profile/T-Investments/ecbfc121-4955-413e-a226-bbdb6d6e1215/?author=profile</w:t>
        </w:r>
      </w:hyperlink>
      <w:r w:rsidRPr="00670B67">
        <w:rPr>
          <w:lang w:val="en-US"/>
        </w:rPr>
        <w:t xml:space="preserve">. </w:t>
      </w:r>
    </w:p>
    <w:p w14:paraId="69FB4065" w14:textId="09DFFB3F" w:rsidR="00670B67" w:rsidRPr="00EB34F6" w:rsidRDefault="00670B67" w:rsidP="00670B67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3827E9"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70B67">
        <w:rPr>
          <w:rFonts w:ascii="Times New Roman" w:hAnsi="Times New Roman" w:cs="Times New Roman"/>
          <w:sz w:val="28"/>
          <w:szCs w:val="28"/>
          <w:shd w:val="clear" w:color="auto" w:fill="FFFFFF"/>
        </w:rPr>
        <w:t>Традиционная розница обвинила интернет-платформы в дискриминации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70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Pr="00670B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hyperlink r:id="rId7" w:history="1">
        <w:r w:rsidRPr="001C15B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Pr="00670B6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://</w:t>
        </w:r>
        <w:r w:rsidRPr="001C15B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Pr="00670B6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.</w:t>
        </w:r>
        <w:r w:rsidRPr="001C15B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rbc</w:t>
        </w:r>
        <w:r w:rsidRPr="00670B6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.</w:t>
        </w:r>
        <w:r w:rsidRPr="001C15B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r w:rsidRPr="00670B6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/</w:t>
        </w:r>
        <w:r w:rsidRPr="001C15B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technology</w:t>
        </w:r>
        <w:r w:rsidRPr="00670B6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_</w:t>
        </w:r>
        <w:r w:rsidRPr="001C15B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and</w:t>
        </w:r>
        <w:r w:rsidRPr="00670B6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_</w:t>
        </w:r>
        <w:r w:rsidRPr="001C15B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media</w:t>
        </w:r>
        <w:r w:rsidRPr="00670B6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/19/12/2024/676303089</w:t>
        </w:r>
        <w:r w:rsidRPr="001C15B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</w:t>
        </w:r>
        <w:r w:rsidRPr="00670B6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7947861228</w:t>
        </w:r>
        <w:r w:rsidRPr="001C15B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ec</w:t>
        </w:r>
        <w:r w:rsidRPr="00670B6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57?</w:t>
        </w:r>
        <w:r w:rsidRPr="001C15B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ysclid</w:t>
        </w:r>
        <w:r w:rsidRPr="00670B6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=</w:t>
        </w:r>
        <w:r w:rsidRPr="001C15B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</w:t>
        </w:r>
        <w:r w:rsidRPr="00670B6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4</w:t>
        </w:r>
        <w:r w:rsidRPr="001C15B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</w:t>
        </w:r>
        <w:r w:rsidRPr="00670B6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2</w:t>
        </w:r>
        <w:r w:rsidRPr="001C15B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</w:t>
        </w:r>
        <w:r w:rsidRPr="00670B6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1</w:t>
        </w:r>
        <w:r w:rsidRPr="001C15B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qu</w:t>
        </w:r>
        <w:r w:rsidRPr="00670B6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9288650226</w:t>
        </w:r>
      </w:hyperlink>
      <w:r w:rsidR="00EB34F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14:paraId="18451E3F" w14:textId="00376AF5" w:rsidR="003827E9" w:rsidRPr="001A2B85" w:rsidRDefault="00EB34F6" w:rsidP="001A2B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4F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4</w:t>
      </w:r>
      <w:r w:rsidR="00670B67" w:rsidRPr="00670B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Pr="00EB34F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="00670B67" w:rsidRPr="001A2B8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Potwora</w:t>
      </w:r>
      <w:r w:rsidRPr="00EB34F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="00670B67" w:rsidRPr="001A2B8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M.</w:t>
      </w:r>
      <w:r w:rsidRPr="00EB34F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="00670B67" w:rsidRPr="001A2B8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et</w:t>
      </w:r>
      <w:r w:rsidRPr="00EB34F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="00670B67" w:rsidRPr="001A2B8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al. Marketing strategies in e-commerce: </w:t>
      </w:r>
      <w:proofErr w:type="spellStart"/>
      <w:r w:rsidR="00670B67" w:rsidRPr="001A2B8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personalised</w:t>
      </w:r>
      <w:proofErr w:type="spellEnd"/>
      <w:r w:rsidR="00670B67" w:rsidRPr="001A2B8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content, recommendations, and increased customer trust //</w:t>
      </w:r>
      <w:r w:rsidRPr="00EB34F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670B67" w:rsidRPr="001A2B8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Financial and Credit Activity: Problems of Theory and Practice. 2023.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Vol</w:t>
      </w:r>
      <w:r w:rsidR="00670B67" w:rsidRPr="001A2B8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 5.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="00670B67"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t>52. С. 562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–</w:t>
      </w:r>
      <w:r w:rsidR="00670B67" w:rsidRPr="001A2B85">
        <w:rPr>
          <w:rFonts w:ascii="Times New Roman" w:hAnsi="Times New Roman" w:cs="Times New Roman"/>
          <w:sz w:val="28"/>
          <w:szCs w:val="28"/>
          <w:shd w:val="clear" w:color="auto" w:fill="FFFFFF"/>
        </w:rPr>
        <w:t>573.</w:t>
      </w:r>
    </w:p>
    <w:sectPr w:rsidR="003827E9" w:rsidRPr="001A2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7E9"/>
    <w:rsid w:val="000057D6"/>
    <w:rsid w:val="001562EC"/>
    <w:rsid w:val="001A2B85"/>
    <w:rsid w:val="00241C20"/>
    <w:rsid w:val="003827E9"/>
    <w:rsid w:val="00670B67"/>
    <w:rsid w:val="00827C2E"/>
    <w:rsid w:val="00B94868"/>
    <w:rsid w:val="00EB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7A357"/>
  <w15:chartTrackingRefBased/>
  <w15:docId w15:val="{50E004D7-6308-3E41-BAC9-072BC005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0B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27E9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3827E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827E9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70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23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bc.ru/technology_and_media/19/12/2024/676303089a7947861228ec57?ysclid=m4v2ww1qu92886502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bank.ru/invest/social/profile/T-Investments/ecbfc121-4955-413e-a226-bbdb6d6e1215/?author=profile" TargetMode="External"/><Relationship Id="rId5" Type="http://schemas.openxmlformats.org/officeDocument/2006/relationships/hyperlink" Target="https://datainsight.ru/sites/default/files/DI_FedorVirin_SandM_2024.pdf" TargetMode="External"/><Relationship Id="rId4" Type="http://schemas.openxmlformats.org/officeDocument/2006/relationships/hyperlink" Target="mailto:st102905@student.spbu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Александр</cp:lastModifiedBy>
  <cp:revision>4</cp:revision>
  <dcterms:created xsi:type="dcterms:W3CDTF">2025-03-02T07:55:00Z</dcterms:created>
  <dcterms:modified xsi:type="dcterms:W3CDTF">2025-04-23T21:26:00Z</dcterms:modified>
</cp:coreProperties>
</file>