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E906" w14:textId="77777777" w:rsidR="000057D6" w:rsidRPr="00BA639C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9C">
        <w:rPr>
          <w:rFonts w:ascii="Times New Roman" w:hAnsi="Times New Roman" w:cs="Times New Roman"/>
          <w:sz w:val="28"/>
          <w:szCs w:val="28"/>
        </w:rPr>
        <w:t>Наталия Юрьевна Белякова</w:t>
      </w:r>
    </w:p>
    <w:p w14:paraId="39C522B5" w14:textId="77777777" w:rsidR="007015E9" w:rsidRPr="007015E9" w:rsidRDefault="007015E9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9">
        <w:rPr>
          <w:rFonts w:ascii="Times New Roman" w:hAnsi="Times New Roman" w:cs="Times New Roman"/>
          <w:sz w:val="28"/>
          <w:szCs w:val="28"/>
        </w:rPr>
        <w:t>Н</w:t>
      </w:r>
      <w:r w:rsidRPr="007015E9">
        <w:rPr>
          <w:rFonts w:ascii="Times New Roman" w:hAnsi="Times New Roman" w:cs="Times New Roman"/>
          <w:sz w:val="28"/>
          <w:szCs w:val="28"/>
        </w:rPr>
        <w:t>ациональный исследовательский университет</w:t>
      </w:r>
      <w:r w:rsidRPr="007015E9">
        <w:rPr>
          <w:rFonts w:ascii="Times New Roman" w:hAnsi="Times New Roman" w:cs="Times New Roman"/>
          <w:sz w:val="28"/>
          <w:szCs w:val="28"/>
        </w:rPr>
        <w:t xml:space="preserve"> </w:t>
      </w:r>
      <w:r w:rsidRPr="007015E9">
        <w:rPr>
          <w:rFonts w:ascii="Times New Roman" w:hAnsi="Times New Roman" w:cs="Times New Roman"/>
          <w:sz w:val="28"/>
          <w:szCs w:val="28"/>
        </w:rPr>
        <w:t>«</w:t>
      </w:r>
      <w:r w:rsidRPr="007015E9">
        <w:rPr>
          <w:rFonts w:ascii="Times New Roman" w:hAnsi="Times New Roman" w:cs="Times New Roman"/>
          <w:sz w:val="28"/>
          <w:szCs w:val="28"/>
        </w:rPr>
        <w:t>Высшая школа экономики</w:t>
      </w:r>
      <w:r w:rsidRPr="007015E9">
        <w:rPr>
          <w:rFonts w:ascii="Times New Roman" w:hAnsi="Times New Roman" w:cs="Times New Roman"/>
          <w:sz w:val="28"/>
          <w:szCs w:val="28"/>
        </w:rPr>
        <w:t>»</w:t>
      </w:r>
      <w:r w:rsidRPr="007015E9">
        <w:rPr>
          <w:rFonts w:ascii="Times New Roman" w:hAnsi="Times New Roman" w:cs="Times New Roman"/>
          <w:sz w:val="28"/>
          <w:szCs w:val="28"/>
        </w:rPr>
        <w:t xml:space="preserve"> (Санкт-Петербург)</w:t>
      </w:r>
    </w:p>
    <w:p w14:paraId="6FE0B256" w14:textId="7FF34CCD" w:rsidR="00BA639C" w:rsidRPr="00BA639C" w:rsidRDefault="007015E9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nataliabelyakova@mail.ru</w:t>
        </w:r>
      </w:hyperlink>
    </w:p>
    <w:p w14:paraId="1A268342" w14:textId="77777777" w:rsidR="00BA639C" w:rsidRPr="00BA639C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631C0" w14:textId="77777777" w:rsidR="00BA639C" w:rsidRPr="00BA639C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 w:rsidRPr="00BA639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Медиатизируя</w:t>
      </w:r>
      <w:proofErr w:type="spellEnd"/>
      <w:r w:rsidRPr="00BA639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свое устойчивое развитие: коммуникационный инструментарий компаний в борьбе за человеческий капитал</w:t>
      </w:r>
    </w:p>
    <w:p w14:paraId="012F6420" w14:textId="77777777" w:rsidR="00BA639C" w:rsidRPr="00BA639C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220DD25" w14:textId="77777777" w:rsidR="00BA639C" w:rsidRPr="00BA639C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63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ситуации поиска убедительных аргументов для привлечения и удержания высококвалифицированных кадров российский бизнес, стимулируемый также позицией властных структур, регуляторов и банковского сектора, переосмысливает отчетность об устойчивом развитии как один из факторов конкуренции за человеческий капитал.</w:t>
      </w:r>
    </w:p>
    <w:p w14:paraId="11D08CCB" w14:textId="77777777" w:rsidR="00BA639C" w:rsidRPr="00BA639C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63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Ключевые слова: человеческий капитал, устойчивое развитие, кадровый дефицит, нефинансовая отчетность.</w:t>
      </w:r>
    </w:p>
    <w:p w14:paraId="08B5F724" w14:textId="77777777" w:rsidR="00BA639C" w:rsidRPr="00BA639C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663C7A3" w14:textId="77777777" w:rsidR="007015E9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бизнес находится в ситуации поиска убедительных аргументов для высококвалифицированных кадров. Катализирует процесс новых медийных задач для привлечения и удержания персонала специфика момента. Рекордно низкий уровень безработицы в России обусловлен рядом глобальных и национальных факторов: характерное для всего мира старение и снижение рождаемости (в России показатель суммарного коэффициента рождаемости составлял в 2024</w:t>
      </w:r>
      <w:r w:rsidR="007015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7015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1,4, тогда как для нормального воспроизводства населения пороговое значение составляет 2</w:t>
      </w:r>
      <w:r w:rsidR="007015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15) накладывается на отток квалифицированных кадров с началом СВО и последствие демографического провала 1990-х</w:t>
      </w:r>
      <w:r w:rsidR="007015E9">
        <w:rPr>
          <w:rFonts w:ascii="Times New Roman" w:hAnsi="Times New Roman" w:cs="Times New Roman"/>
          <w:sz w:val="28"/>
          <w:szCs w:val="28"/>
          <w:shd w:val="clear" w:color="auto" w:fill="FFFFFF"/>
        </w:rPr>
        <w:t> гг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. Тренд на снижение рождаемости обозначен как долгосрочный: оптимистичный сценарий демографического прогноза Росстата оперирует показателем 1</w:t>
      </w:r>
      <w:r w:rsidR="007015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5 к 2030</w:t>
      </w:r>
      <w:r w:rsidR="007015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</w:p>
    <w:p w14:paraId="47D6E26D" w14:textId="3ABE6146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конкуренции на высокотехнологичных рынках, продвижение на которых заявлено в качестве одного из государственных приоритетов 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(обновленная Стратегия научно-технологического развития Российской Федерации утверждена 28.02.2024</w:t>
      </w:r>
      <w:r w:rsidR="007015E9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), речь идет не просто о кадрово</w:t>
      </w:r>
      <w:r w:rsidR="007015E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рекрутинге. Привлечение человеческого капитала – носителей уникальных компетенций в сфере интеллектуальной и творческой деятельности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– необходимое условие прогресса в наукоемких и инновационных отраслях. Выбор высококвалифицированных сотрудников определяется сочетанием многих факторов, среди которых финансовая компенсация труда имеет важное значение, но нуждается в дополнительных аргументах, чтобы сделать выбор в пользу того или иного бренда. Ввиду такой усложненной модели рекрутинга «готовых» специалистов, необходимости «выращивать» таланты для компании и при этом удерживать ценных работников, компании ищут аргументы в разных сферах своей операционной и стратегической деятельности, ранее широко не транслировавшиеся конечной аудитории.</w:t>
      </w:r>
    </w:p>
    <w:p w14:paraId="19B95697" w14:textId="48F03AA7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Медиатизации, демонстрации компанией своего прогресса в сфере устойчивого развития способствует встречное движение со стороны государства, а также позиция регулятора и банковских структур (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зеленая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таксономия).</w:t>
      </w:r>
    </w:p>
    <w:p w14:paraId="763B98B2" w14:textId="7AFFC900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императив в отношении социальных обязательств бизнеса получил новый импульс с началом СВО. В марте 2023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г. на съезде РСПП глава государства призвал бизнес «подумать о ежегодной публикации нефинансовой отчетности», сразу же переведя задачу в коммуникационную: «чтобы… рассказывать о том, что та или иная компания сделала для поселка, города, региона, страны» [1]. Спустя год, в апреле 2024 г. президент отметил лауреатов премии «Лидеры ответственного бизнеса» [2].</w:t>
      </w:r>
    </w:p>
    <w:p w14:paraId="675DED8E" w14:textId="0B667635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Поступавшие с начала 2020-х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 гг.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посылы регуляторов можно считать подготовкой к введению элементов обязательной отчетности. Очевидные коммуникационные сигналы игрокам рынка реабилитируют ESG (в расширенном – не только инвестиционном, но прежде всего эколого-климатическом и социальном измерении приверженности принципам 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устойчивости) в новых условиях также в глазах широкой общественности. Отсюда – интерес бизнеса задействовать эту деятельность и в HR-целях.</w:t>
      </w:r>
    </w:p>
    <w:p w14:paraId="196F5B65" w14:textId="335A5547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Центробанк России в 2022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г. представил перечень 44 показателей, составивших новые добровольные стандарты НФО, а в конце 2023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г. одновременно с подтверждением необязательности НФО выпустили рекомендации по написанию Стратегий устойчивого развития. Летом 2023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г. ЦБ разработал рекомендации для повышения качества методологии и развития практики ESG-рейтингов. В ноябре 2023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г. Минэкономразвития представил рекомендуемые к раскрытию показатели нефинансовой отчетности. В январе 2024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г. Банк России выпустил для эмитентов методику разработки стратегий устойчивого развития и климатического перехода.</w:t>
      </w:r>
    </w:p>
    <w:p w14:paraId="6012005D" w14:textId="5DCF342D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В сентябре 2024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Московская биржа обязала организации из 1 и 2 котировальных списков предоставлять </w:t>
      </w:r>
      <w:proofErr w:type="spellStart"/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нефинасовую</w:t>
      </w:r>
      <w:proofErr w:type="spellEnd"/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отчетность [3]. НФО остается обязательным в случае эмиссии на зарубежных биржах, актуальном в текущем моменте «разворота» российского экспорта на страны БРИКС и ЕАЭС.</w:t>
      </w:r>
    </w:p>
    <w:p w14:paraId="491AB4FC" w14:textId="77777777" w:rsidR="00FC3FFA" w:rsidRDefault="00FC3FFA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A4E559" w14:textId="71118B52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29FF60F3" w14:textId="4159B705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Пленарное заседание съезда РСПП 16 марта 2023 года. 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5" w:history="1">
        <w:r w:rsidR="00FC3FFA"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http://www.kremlin.ru/events/president/news/70688/</w:t>
        </w:r>
      </w:hyperlink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. (д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ата обращения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10.02.2025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4537070B" w14:textId="70CABB11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Пленарное заседание съезда РСПП 25 апреля 2024 года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6" w:history="1">
        <w:r w:rsidR="00FC3FFA" w:rsidRPr="001C1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http://special.kremlin.ru/events/president/news/73940</w:t>
        </w:r>
      </w:hyperlink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. (д</w:t>
      </w:r>
      <w:r w:rsidRP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ата обращения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10.02.2025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6B1616BF" w14:textId="1A0C9C09" w:rsidR="00BA639C" w:rsidRPr="000C2506" w:rsidRDefault="00BA639C" w:rsidP="00FC3F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 для эмитента Московской биржи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FC3FFA" w:rsidRPr="00FC3F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hyperlink r:id="rId7" w:history="1">
        <w:r w:rsidR="00FC3FFA" w:rsidRPr="00FC3FF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https://fs.moex.com/f/21348/mosbirzha-esg2024-rus-book-27.pdf</w:t>
        </w:r>
      </w:hyperlink>
      <w:r w:rsidR="00FC3FFA" w:rsidRPr="00FC3F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(д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>ата обращения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C2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10.02.2025</w:t>
      </w:r>
      <w:r w:rsidR="00FC3FF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sectPr w:rsidR="00BA639C" w:rsidRPr="000C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9C"/>
    <w:rsid w:val="000057D6"/>
    <w:rsid w:val="000C2506"/>
    <w:rsid w:val="001562EC"/>
    <w:rsid w:val="007015E9"/>
    <w:rsid w:val="00827C2E"/>
    <w:rsid w:val="00B94868"/>
    <w:rsid w:val="00BA639C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51E4"/>
  <w15:chartTrackingRefBased/>
  <w15:docId w15:val="{C3ABCE30-0C8F-B940-B7C7-0753320D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9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A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s.moex.com/f/21348/mosbirzha-esg2024-rus-book-2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ecial.kremlin.ru/events/president/news/73940" TargetMode="External"/><Relationship Id="rId5" Type="http://schemas.openxmlformats.org/officeDocument/2006/relationships/hyperlink" Target="http://www.kremlin.ru/events/president/news/70688/" TargetMode="External"/><Relationship Id="rId4" Type="http://schemas.openxmlformats.org/officeDocument/2006/relationships/hyperlink" Target="mailto:nataliabelyakov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</cp:lastModifiedBy>
  <cp:revision>3</cp:revision>
  <dcterms:created xsi:type="dcterms:W3CDTF">2025-03-02T07:43:00Z</dcterms:created>
  <dcterms:modified xsi:type="dcterms:W3CDTF">2025-04-23T21:18:00Z</dcterms:modified>
</cp:coreProperties>
</file>