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D6" w:rsidRPr="006762CF" w:rsidRDefault="00BE4462" w:rsidP="006762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2CF">
        <w:rPr>
          <w:rFonts w:ascii="Times New Roman" w:hAnsi="Times New Roman" w:cs="Times New Roman"/>
          <w:sz w:val="28"/>
          <w:szCs w:val="28"/>
        </w:rPr>
        <w:t xml:space="preserve">Лидия </w:t>
      </w:r>
      <w:proofErr w:type="spellStart"/>
      <w:r w:rsidRPr="006762CF">
        <w:rPr>
          <w:rFonts w:ascii="Times New Roman" w:hAnsi="Times New Roman" w:cs="Times New Roman"/>
          <w:sz w:val="28"/>
          <w:szCs w:val="28"/>
        </w:rPr>
        <w:t>Камиловна</w:t>
      </w:r>
      <w:proofErr w:type="spellEnd"/>
      <w:r w:rsidRPr="00676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2CF">
        <w:rPr>
          <w:rFonts w:ascii="Times New Roman" w:hAnsi="Times New Roman" w:cs="Times New Roman"/>
          <w:sz w:val="28"/>
          <w:szCs w:val="28"/>
        </w:rPr>
        <w:t>Лободенко</w:t>
      </w:r>
      <w:proofErr w:type="spellEnd"/>
      <w:r w:rsidRPr="00676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462" w:rsidRPr="006762CF" w:rsidRDefault="00BE4462" w:rsidP="006762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>Южно-Уральский государственный университет</w:t>
      </w:r>
    </w:p>
    <w:p w:rsidR="00BE4462" w:rsidRPr="006762CF" w:rsidRDefault="00B161DE" w:rsidP="006762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E4462" w:rsidRPr="006762C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lobodenkolk@susu.ru</w:t>
        </w:r>
      </w:hyperlink>
    </w:p>
    <w:p w:rsidR="00BE4462" w:rsidRPr="006762CF" w:rsidRDefault="00BE4462" w:rsidP="006762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462" w:rsidRPr="006762CF" w:rsidRDefault="00BE4462" w:rsidP="006762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2CF">
        <w:rPr>
          <w:rFonts w:ascii="Times New Roman" w:hAnsi="Times New Roman" w:cs="Times New Roman"/>
          <w:sz w:val="28"/>
          <w:szCs w:val="28"/>
        </w:rPr>
        <w:t>Максим Вадимович Евсеев</w:t>
      </w:r>
    </w:p>
    <w:p w:rsidR="00BE4462" w:rsidRPr="006762CF" w:rsidRDefault="00BE4462" w:rsidP="006762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>Южно-Уральский государственный университет</w:t>
      </w:r>
    </w:p>
    <w:p w:rsidR="00BE4462" w:rsidRPr="006762CF" w:rsidRDefault="00B161DE" w:rsidP="006762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BE4462" w:rsidRPr="006762CF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makevs@yandex.ru</w:t>
        </w:r>
      </w:hyperlink>
    </w:p>
    <w:p w:rsidR="00BE4462" w:rsidRPr="006762CF" w:rsidRDefault="00BE4462" w:rsidP="006762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462" w:rsidRPr="006762CF" w:rsidRDefault="00BE4462" w:rsidP="006762C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762C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Сравнительный анализ эффективности </w:t>
      </w:r>
      <w:proofErr w:type="spellStart"/>
      <w:r w:rsidRPr="006762C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контент-планирования</w:t>
      </w:r>
      <w:proofErr w:type="spellEnd"/>
      <w:r w:rsidRPr="006762C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 социальных сетях промышленных корпораций</w:t>
      </w:r>
    </w:p>
    <w:p w:rsidR="00BE4462" w:rsidRPr="006762CF" w:rsidRDefault="00BE4462" w:rsidP="006762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4462" w:rsidRPr="006762CF" w:rsidRDefault="00BE4462" w:rsidP="006762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 анализ социальных сетей ведущих промышленных корпораций. Представлен сравнительный анализ показателей эффективности коммуникаций в социальной сети </w:t>
      </w:r>
      <w:proofErr w:type="spellStart"/>
      <w:r w:rsidRP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>онтакте</w:t>
      </w:r>
      <w:proofErr w:type="spellEnd"/>
      <w:r w:rsidRP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Отмечена роль рекламных инструментов в контексте </w:t>
      </w:r>
      <w:proofErr w:type="spellStart"/>
      <w:r w:rsidRP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контент-планирования</w:t>
      </w:r>
      <w:proofErr w:type="spellEnd"/>
      <w:r w:rsidRP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4462" w:rsidRPr="006762CF" w:rsidRDefault="00BE4462" w:rsidP="006762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Ключевые слова: социальные сети, </w:t>
      </w:r>
      <w:proofErr w:type="spellStart"/>
      <w:r w:rsidRP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контент-планирование</w:t>
      </w:r>
      <w:proofErr w:type="spellEnd"/>
      <w:r w:rsidRP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>, показатели эффективности.</w:t>
      </w:r>
    </w:p>
    <w:p w:rsidR="00BE4462" w:rsidRPr="006762CF" w:rsidRDefault="00BE4462" w:rsidP="006762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3242" w:rsidRPr="006762CF" w:rsidRDefault="00BE4462" w:rsidP="006762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Динамичное развитие </w:t>
      </w:r>
      <w:proofErr w:type="spellStart"/>
      <w:proofErr w:type="gramStart"/>
      <w:r w:rsidRP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интернет-пространства</w:t>
      </w:r>
      <w:proofErr w:type="spellEnd"/>
      <w:proofErr w:type="gramEnd"/>
      <w:r w:rsidRP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цифровых технологий изменили жизнь всего общества и основные аспекты реализации коммуникационных стратегий в бизнесе. Так, согласно данным </w:t>
      </w:r>
      <w:proofErr w:type="spellStart"/>
      <w:r w:rsidRP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>DataReportal</w:t>
      </w:r>
      <w:proofErr w:type="spellEnd"/>
      <w:r w:rsidRP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>, 88,2% населения России являются пользователями интернета [3]</w:t>
      </w:r>
      <w:r w:rsid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>. При этом по состоянию на 2023 </w:t>
      </w:r>
      <w:r w:rsidRP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общее количество пользователей социальных се</w:t>
      </w:r>
      <w:r w:rsid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тей находится на уровне 101 </w:t>
      </w:r>
      <w:proofErr w:type="spellStart"/>
      <w:proofErr w:type="gramStart"/>
      <w:r w:rsid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человек, а для 40% населения страны социальные сети стали главным источником новостей [1]. Эти данные указывают на особую актуальность </w:t>
      </w:r>
      <w:proofErr w:type="spellStart"/>
      <w:r w:rsidRP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контент-планирования</w:t>
      </w:r>
      <w:proofErr w:type="spellEnd"/>
      <w:r w:rsidRP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социальных сетях и оценку его эффективности. А.</w:t>
      </w:r>
      <w:r w:rsid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>C.</w:t>
      </w:r>
      <w:r w:rsid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>Мелехова отмечает, что «</w:t>
      </w:r>
      <w:proofErr w:type="spellStart"/>
      <w:proofErr w:type="gramStart"/>
      <w:r w:rsidRP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gramEnd"/>
      <w:r w:rsidRP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>егодня</w:t>
      </w:r>
      <w:proofErr w:type="spellEnd"/>
      <w:r w:rsidRP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цифровые технологии в рекламе и PR становятся не только конкурентным преимуществом для бизнеса, но и априорным условием существования, так как именно они обеспечивают максимальную персонализированную </w:t>
      </w:r>
      <w:r w:rsidRPr="006762C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релевантную коммуникацию с аудиторией с высоким уровнем вовлечения» [2</w:t>
      </w:r>
      <w:r w:rsid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 w:rsidR="00C43BD7">
        <w:rPr>
          <w:rFonts w:ascii="Times New Roman" w:hAnsi="Times New Roman" w:cs="Times New Roman"/>
          <w:sz w:val="28"/>
          <w:szCs w:val="28"/>
          <w:shd w:val="clear" w:color="auto" w:fill="FFFFFF"/>
        </w:rPr>
        <w:t>230]. При этом</w:t>
      </w:r>
      <w:r w:rsidRP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бизнеса чрезвычайно важно не только иметь представление о диапазоне задач, которые компания будет решать через </w:t>
      </w:r>
      <w:proofErr w:type="spellStart"/>
      <w:r w:rsidRP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контент</w:t>
      </w:r>
      <w:proofErr w:type="spellEnd"/>
      <w:r w:rsidRP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>, но и уметь оценивать эффективность такой работы.</w:t>
      </w:r>
    </w:p>
    <w:p w:rsidR="00433242" w:rsidRPr="006762CF" w:rsidRDefault="00BE4462" w:rsidP="006762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Базой исследования стали официальны</w:t>
      </w:r>
      <w:r w:rsidR="00C43BD7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 xml:space="preserve">е страницы в </w:t>
      </w:r>
      <w:proofErr w:type="spellStart"/>
      <w:r w:rsidR="00C43BD7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соцсети</w:t>
      </w:r>
      <w:proofErr w:type="spellEnd"/>
      <w:r w:rsidR="00C43BD7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43BD7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ведущих промышленных корпораций: «Трубная Металлургическая Компания» (ТМК), «Русская Медная Компания» (РМК) и «Магнитогорский Металлургический Комбинат» (ММК). </w:t>
      </w:r>
      <w:proofErr w:type="gramStart"/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показателей коммуникационной эффективности </w:t>
      </w:r>
      <w:proofErr w:type="spellStart"/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контент-планирования</w:t>
      </w:r>
      <w:proofErr w:type="spellEnd"/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выбраны следующие: общее количество подписчиков на площадке и динамика подписчиков за обозначенный период; количество просмотров за период; количество единиц </w:t>
      </w:r>
      <w:proofErr w:type="spellStart"/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контента</w:t>
      </w:r>
      <w:proofErr w:type="spellEnd"/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вышедших в рамках периода; среднее количество просмотров на одну единицу </w:t>
      </w:r>
      <w:proofErr w:type="spellStart"/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контента</w:t>
      </w:r>
      <w:proofErr w:type="spellEnd"/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; средний показатель ER (</w:t>
      </w:r>
      <w:proofErr w:type="spellStart"/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Engagement</w:t>
      </w:r>
      <w:proofErr w:type="spellEnd"/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Rate</w:t>
      </w:r>
      <w:proofErr w:type="spellEnd"/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уровень вовлечённости / количество подписчиков); средний показатель ERV (</w:t>
      </w:r>
      <w:proofErr w:type="spellStart"/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Engagement</w:t>
      </w:r>
      <w:proofErr w:type="spellEnd"/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Rate</w:t>
      </w:r>
      <w:proofErr w:type="spellEnd"/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Views</w:t>
      </w:r>
      <w:proofErr w:type="spellEnd"/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уровень вовлеченности / охват).</w:t>
      </w:r>
      <w:proofErr w:type="gramEnd"/>
    </w:p>
    <w:p w:rsidR="00C43BD7" w:rsidRDefault="00BE4462" w:rsidP="006762CF">
      <w:pPr>
        <w:spacing w:line="360" w:lineRule="auto"/>
        <w:ind w:firstLine="709"/>
        <w:jc w:val="both"/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показателей коммуникационной эффективности официальных страниц корпораций позволил отметить положительную динамику в рамках выбранного периода: </w:t>
      </w:r>
    </w:p>
    <w:p w:rsidR="00C43BD7" w:rsidRDefault="00BE4462" w:rsidP="006762CF">
      <w:pPr>
        <w:spacing w:line="360" w:lineRule="auto"/>
        <w:ind w:firstLine="709"/>
        <w:jc w:val="both"/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="00C43BD7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 количество подписчиков – 17 </w:t>
      </w:r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166 чел</w:t>
      </w:r>
      <w:r w:rsidR="00C43BD7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овек</w:t>
      </w:r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 xml:space="preserve"> (ТМК), 52</w:t>
      </w:r>
      <w:r w:rsidR="00C43BD7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490 (РМК), 31</w:t>
      </w:r>
      <w:r w:rsidR="00C43BD7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 xml:space="preserve">651 (ММК); </w:t>
      </w:r>
    </w:p>
    <w:p w:rsidR="00C43BD7" w:rsidRDefault="00C43BD7" w:rsidP="006762CF">
      <w:pPr>
        <w:spacing w:line="360" w:lineRule="auto"/>
        <w:ind w:firstLine="709"/>
        <w:jc w:val="both"/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2) </w:t>
      </w:r>
      <w:r w:rsidR="00BE4462"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количество новых подписчиков – 1550 чел</w:t>
      </w:r>
      <w:r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овек</w:t>
      </w:r>
      <w:r w:rsidR="00BE4462"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 xml:space="preserve"> (ТМК), 9430 (РМК), 1831 (ММК); </w:t>
      </w:r>
    </w:p>
    <w:p w:rsidR="00C43BD7" w:rsidRDefault="00BE4462" w:rsidP="006762CF">
      <w:pPr>
        <w:spacing w:line="360" w:lineRule="auto"/>
        <w:ind w:firstLine="709"/>
        <w:jc w:val="both"/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3)</w:t>
      </w:r>
      <w:r w:rsidR="00C43BD7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единиц </w:t>
      </w:r>
      <w:proofErr w:type="spellStart"/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контента</w:t>
      </w:r>
      <w:proofErr w:type="spellEnd"/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 84 (ТМК), 123 (РМК), 318 (ММК); </w:t>
      </w:r>
    </w:p>
    <w:p w:rsidR="00C43BD7" w:rsidRDefault="00BE4462" w:rsidP="006762CF">
      <w:pPr>
        <w:spacing w:line="360" w:lineRule="auto"/>
        <w:ind w:firstLine="709"/>
        <w:jc w:val="both"/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4)</w:t>
      </w:r>
      <w:r w:rsidR="00C43BD7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количество просмотров – 912</w:t>
      </w:r>
      <w:r w:rsidR="00C43BD7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995 (ТМК), 3</w:t>
      </w:r>
      <w:r w:rsidR="00C43BD7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061</w:t>
      </w:r>
      <w:r w:rsidR="00C43BD7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003 (РМК), 2</w:t>
      </w:r>
      <w:r w:rsidR="00C43BD7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828</w:t>
      </w:r>
      <w:r w:rsidR="00C43BD7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 xml:space="preserve">540 (ММК); </w:t>
      </w:r>
    </w:p>
    <w:p w:rsidR="00C43BD7" w:rsidRDefault="00BE4462" w:rsidP="006762CF">
      <w:pPr>
        <w:spacing w:line="360" w:lineRule="auto"/>
        <w:ind w:firstLine="709"/>
        <w:jc w:val="both"/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5)</w:t>
      </w:r>
      <w:r w:rsidR="00C43BD7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количество просмотров на 1 публикацию – 10</w:t>
      </w:r>
      <w:r w:rsidR="00C43BD7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869 (ТМК), 24</w:t>
      </w:r>
      <w:r w:rsidR="00C43BD7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866 (РМК), 8</w:t>
      </w:r>
      <w:r w:rsidR="00C43BD7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 xml:space="preserve">895 (ММК); </w:t>
      </w:r>
    </w:p>
    <w:p w:rsidR="00C43BD7" w:rsidRDefault="00BE4462" w:rsidP="006762CF">
      <w:pPr>
        <w:spacing w:line="360" w:lineRule="auto"/>
        <w:ind w:firstLine="709"/>
        <w:jc w:val="both"/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6)</w:t>
      </w:r>
      <w:r w:rsidR="00C43BD7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средний ER за период – 0,42% (ТМК), 0,451% (РМК), 0,251% (ММК); </w:t>
      </w:r>
      <w:proofErr w:type="gramEnd"/>
    </w:p>
    <w:p w:rsidR="00433242" w:rsidRPr="006762CF" w:rsidRDefault="00BE4462" w:rsidP="006762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7)</w:t>
      </w:r>
      <w:r w:rsidR="00C43BD7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средний ERV – 0,66% (ТМК); 0,952% (РМК); 0,877% (ММК).</w:t>
      </w:r>
    </w:p>
    <w:p w:rsidR="00433242" w:rsidRPr="006762CF" w:rsidRDefault="00BE4462" w:rsidP="006762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Из представленных данных исследования видно, что лидером по основным ключевым показателям стала официальная страница компании РМК, показавшая наибольший прирост подпис</w:t>
      </w:r>
      <w:r w:rsidR="00C43BD7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чиков (17,96</w:t>
      </w:r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 xml:space="preserve">%). Средний уровень эффективности в контексте указанных показателей представляет работа по данному направлению компании ММК: с одной стороны, большое количество публикаций (318 постов), а с другой стороны, низкая динамика прироста подписчиков (5,78%) и средний показатель вовлеченности ERV (0,877%). Социальные сети ТМК используются компанией наименее интенсивно: это находит отражение как в количестве публикуемого </w:t>
      </w:r>
      <w:proofErr w:type="spellStart"/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контента</w:t>
      </w:r>
      <w:proofErr w:type="spellEnd"/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 xml:space="preserve"> (84 поста), так и в итоговом охвате аудитории (17</w:t>
      </w:r>
      <w:r w:rsidR="00C43BD7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166 чел</w:t>
      </w:r>
      <w:r w:rsidR="00C43BD7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433242" w:rsidRPr="006762CF" w:rsidRDefault="00BE4462" w:rsidP="006762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тематики </w:t>
      </w:r>
      <w:proofErr w:type="spellStart"/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медиаконтента</w:t>
      </w:r>
      <w:proofErr w:type="spellEnd"/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показал, что наибольший охват представителей целевой аудитории (в среднем на 1 пост) показывают </w:t>
      </w:r>
      <w:proofErr w:type="spellStart"/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медиатексты</w:t>
      </w:r>
      <w:proofErr w:type="spellEnd"/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следующим</w:t>
      </w:r>
      <w:proofErr w:type="gramEnd"/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направления: </w:t>
      </w:r>
      <w:proofErr w:type="gramStart"/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РМК – новости производства, спортивные мероприятия (&gt;50 тыс. чел</w:t>
      </w:r>
      <w:r w:rsidR="00C43BD7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); ММК – возможности для молодых специалистов, корпоративные мероприятия (15 тыс. чел); ТМК – социальная повестка (19 тыс. чел).</w:t>
      </w:r>
      <w:proofErr w:type="gramEnd"/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Наименьшие показатели наблюдаются по темам экология и развлекательная информация (7 тыс. чел</w:t>
      </w:r>
      <w:r w:rsidR="00C43BD7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BE4462" w:rsidRPr="006762CF" w:rsidRDefault="00BE4462" w:rsidP="006762CF">
      <w:pPr>
        <w:spacing w:line="360" w:lineRule="auto"/>
        <w:ind w:firstLine="709"/>
        <w:jc w:val="both"/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анализ эффективности </w:t>
      </w:r>
      <w:proofErr w:type="spellStart"/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контент-планирования</w:t>
      </w:r>
      <w:proofErr w:type="spellEnd"/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социальных сетях промышленных корпораций показал достаточно высокий уровень охвата, динамику количества подписчиков и вовлеченности аудитории. При этом наибольший интерес аудитории вызывают темы производственного и социального развития.</w:t>
      </w:r>
    </w:p>
    <w:p w:rsidR="00C43BD7" w:rsidRDefault="00C43BD7" w:rsidP="006762CF">
      <w:pPr>
        <w:spacing w:line="360" w:lineRule="auto"/>
        <w:ind w:firstLine="709"/>
        <w:jc w:val="both"/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4462" w:rsidRPr="006762CF" w:rsidRDefault="00BE4462" w:rsidP="006762CF">
      <w:pPr>
        <w:spacing w:line="360" w:lineRule="auto"/>
        <w:ind w:firstLine="709"/>
        <w:jc w:val="both"/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Литература</w:t>
      </w:r>
    </w:p>
    <w:p w:rsidR="00BE4462" w:rsidRPr="006762CF" w:rsidRDefault="00C43BD7" w:rsidP="006762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BE4462"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Исследование отечественных и зарубежных социальных сетей / </w:t>
      </w:r>
      <w:proofErr w:type="spellStart"/>
      <w:r w:rsidR="00BE4462"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онлайн</w:t>
      </w:r>
      <w:r w:rsidRPr="00C43BD7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E4462"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платформ</w:t>
      </w:r>
      <w:proofErr w:type="spellEnd"/>
      <w:r w:rsidR="00BE4462"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: состояние, ср</w:t>
      </w:r>
      <w:r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авнительный анализ, перспективы</w:t>
      </w:r>
      <w:r w:rsidR="00BE4462"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C43BD7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7" w:history="1">
        <w:r w:rsidRPr="0073625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https://www.akarussia.ru/files/docs/AKAR23_socseti_bezpervogo.pdf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E4462"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 07.02.2024).</w:t>
      </w:r>
    </w:p>
    <w:p w:rsidR="00BE4462" w:rsidRPr="00C43BD7" w:rsidRDefault="00BE4462" w:rsidP="006762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2C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</w:t>
      </w:r>
      <w:r w:rsidR="00C43B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>Мелехова</w:t>
      </w:r>
      <w:r w:rsidR="00C43B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C43B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</w:t>
      </w:r>
      <w:proofErr w:type="spellStart"/>
      <w:r w:rsidRP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Контент-стратегия</w:t>
      </w:r>
      <w:proofErr w:type="spellEnd"/>
      <w:r w:rsidRP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эффективный инструмент </w:t>
      </w:r>
      <w:proofErr w:type="spellStart"/>
      <w:r w:rsidRP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>бренд-коммуникации</w:t>
      </w:r>
      <w:proofErr w:type="spellEnd"/>
      <w:r w:rsidRP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C43B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условиях экономических вызовов</w:t>
      </w:r>
      <w:r w:rsidR="00C43BD7" w:rsidRPr="00C43B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</w:t>
      </w:r>
      <w:r w:rsidRP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Вестник</w:t>
      </w:r>
      <w:r w:rsidRPr="00C43B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3BD7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Российского эконом</w:t>
      </w:r>
      <w:proofErr w:type="gramStart"/>
      <w:r w:rsidR="00C43B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C43B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43BD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="00C43B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н-та </w:t>
      </w:r>
      <w:r w:rsidRP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r w:rsidR="00C43BD7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C43B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C43BD7" w:rsidRPr="00C43B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43B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C43BD7" w:rsidRPr="00C43B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>Плеханова</w:t>
      </w:r>
      <w:r w:rsidR="00C43BD7" w:rsidRPr="00C43B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C43B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2022</w:t>
      </w:r>
      <w:r w:rsidR="00C43BD7" w:rsidRPr="00C43B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C43B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6762C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C43BD7" w:rsidRPr="00C43B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 </w:t>
      </w:r>
      <w:r w:rsidRPr="00C43B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19</w:t>
      </w:r>
      <w:r w:rsidR="00C43BD7" w:rsidRPr="00C43B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C43B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C43BD7" w:rsidRPr="00C43B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№ </w:t>
      </w:r>
      <w:r w:rsidRPr="00C43B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5 (125)</w:t>
      </w:r>
      <w:r w:rsidR="00C43BD7" w:rsidRPr="00C43B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="00C43BD7">
        <w:rPr>
          <w:rFonts w:ascii="Times New Roman" w:hAnsi="Times New Roman" w:cs="Times New Roman"/>
          <w:sz w:val="28"/>
          <w:szCs w:val="28"/>
          <w:shd w:val="clear" w:color="auto" w:fill="FFFFFF"/>
        </w:rPr>
        <w:t>С. 228–238.</w:t>
      </w:r>
    </w:p>
    <w:p w:rsidR="00BE4462" w:rsidRPr="00C43BD7" w:rsidRDefault="00BE4462" w:rsidP="006762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3.</w:t>
      </w:r>
      <w:r w:rsidR="00C43BD7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Kemp</w:t>
      </w:r>
      <w:r w:rsidR="00C43BD7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S. Digital 2023: Global Overview Report. </w:t>
      </w:r>
      <w:proofErr w:type="spellStart"/>
      <w:proofErr w:type="gramStart"/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DataReportal</w:t>
      </w:r>
      <w:proofErr w:type="spellEnd"/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proofErr w:type="gramEnd"/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January 26, 2023. </w:t>
      </w:r>
      <w:r w:rsidR="00C43BD7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C43BD7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8" w:history="1">
        <w:r w:rsidR="00C43BD7" w:rsidRPr="0073625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="00C43BD7" w:rsidRPr="0073625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="00C43BD7" w:rsidRPr="0073625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datareportal</w:t>
        </w:r>
        <w:proofErr w:type="spellEnd"/>
        <w:r w:rsidR="00C43BD7" w:rsidRPr="0073625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C43BD7" w:rsidRPr="0073625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  <w:r w:rsidR="00C43BD7" w:rsidRPr="0073625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C43BD7" w:rsidRPr="0073625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reports</w:t>
        </w:r>
        <w:r w:rsidR="00C43BD7" w:rsidRPr="0073625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C43BD7" w:rsidRPr="0073625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digital</w:t>
        </w:r>
        <w:r w:rsidR="00C43BD7" w:rsidRPr="0073625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-2023-</w:t>
        </w:r>
        <w:r w:rsidR="00C43BD7" w:rsidRPr="0073625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global</w:t>
        </w:r>
        <w:r w:rsidR="00C43BD7" w:rsidRPr="0073625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C43BD7" w:rsidRPr="0073625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overview</w:t>
        </w:r>
        <w:r w:rsidR="00C43BD7" w:rsidRPr="0073625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="00C43BD7" w:rsidRPr="0073625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repor</w:t>
        </w:r>
        <w:proofErr w:type="spellEnd"/>
        <w:r w:rsidR="00C43BD7" w:rsidRPr="0073625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  <w:r w:rsidR="00C43B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43BD7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дата</w:t>
      </w:r>
      <w:r w:rsidRPr="00C43BD7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62CF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обращения</w:t>
      </w:r>
      <w:r w:rsidRPr="00C43BD7">
        <w:rPr>
          <w:rStyle w:val="im"/>
          <w:rFonts w:ascii="Times New Roman" w:hAnsi="Times New Roman" w:cs="Times New Roman"/>
          <w:sz w:val="28"/>
          <w:szCs w:val="28"/>
          <w:shd w:val="clear" w:color="auto" w:fill="FFFFFF"/>
        </w:rPr>
        <w:t>: 07.02.2024).</w:t>
      </w:r>
    </w:p>
    <w:sectPr w:rsidR="00BE4462" w:rsidRPr="00C43BD7" w:rsidSect="00B1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4462"/>
    <w:rsid w:val="000057D6"/>
    <w:rsid w:val="00433242"/>
    <w:rsid w:val="006762CF"/>
    <w:rsid w:val="009F7BE7"/>
    <w:rsid w:val="00B161DE"/>
    <w:rsid w:val="00B94868"/>
    <w:rsid w:val="00BE4462"/>
    <w:rsid w:val="00C4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46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4462"/>
    <w:rPr>
      <w:color w:val="605E5C"/>
      <w:shd w:val="clear" w:color="auto" w:fill="E1DFDD"/>
    </w:rPr>
  </w:style>
  <w:style w:type="character" w:customStyle="1" w:styleId="im">
    <w:name w:val="im"/>
    <w:basedOn w:val="a0"/>
    <w:rsid w:val="00BE4462"/>
  </w:style>
  <w:style w:type="character" w:styleId="a4">
    <w:name w:val="FollowedHyperlink"/>
    <w:basedOn w:val="a0"/>
    <w:uiPriority w:val="99"/>
    <w:semiHidden/>
    <w:unhideWhenUsed/>
    <w:rsid w:val="00BE446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reportal.com/reports/digital-2023-global-overview-rep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karussia.ru/files/docs/AKAR23_socseti_bezpervogo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kevs@yandex.ru" TargetMode="External"/><Relationship Id="rId5" Type="http://schemas.openxmlformats.org/officeDocument/2006/relationships/hyperlink" Target="mailto:lobodenkolk@sus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71A3A-3446-4D3A-A95A-4887CE8B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Malyshev</cp:lastModifiedBy>
  <cp:revision>4</cp:revision>
  <dcterms:created xsi:type="dcterms:W3CDTF">2024-02-16T08:26:00Z</dcterms:created>
  <dcterms:modified xsi:type="dcterms:W3CDTF">2024-02-25T16:43:00Z</dcterms:modified>
</cp:coreProperties>
</file>