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D04331" w:rsidRDefault="00DD60C2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04331">
        <w:rPr>
          <w:color w:val="000000" w:themeColor="text1"/>
          <w:sz w:val="28"/>
          <w:szCs w:val="28"/>
        </w:rPr>
        <w:t>Олег Александрович Гримов</w:t>
      </w:r>
    </w:p>
    <w:p w:rsidR="00F508DF" w:rsidRPr="00D04331" w:rsidRDefault="00D616A2" w:rsidP="00E768D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D04331">
        <w:rPr>
          <w:rFonts w:cs="Times New Roman"/>
          <w:color w:val="000000" w:themeColor="text1"/>
          <w:sz w:val="28"/>
          <w:szCs w:val="28"/>
        </w:rPr>
        <w:t>Юго-</w:t>
      </w:r>
      <w:r w:rsidR="00F508DF" w:rsidRPr="00D04331">
        <w:rPr>
          <w:rFonts w:cs="Times New Roman"/>
          <w:color w:val="000000" w:themeColor="text1"/>
          <w:sz w:val="28"/>
          <w:szCs w:val="28"/>
        </w:rPr>
        <w:t>Западный государственный университет</w:t>
      </w:r>
      <w:r w:rsidR="000E26DC">
        <w:rPr>
          <w:rFonts w:cs="Times New Roman"/>
          <w:color w:val="000000" w:themeColor="text1"/>
          <w:sz w:val="28"/>
          <w:szCs w:val="28"/>
        </w:rPr>
        <w:t xml:space="preserve"> (Курск)</w:t>
      </w:r>
    </w:p>
    <w:p w:rsidR="00F508DF" w:rsidRPr="00E768DA" w:rsidRDefault="000E26DC" w:rsidP="00E768D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>
        <w:r w:rsidRPr="00F25FF2">
          <w:rPr>
            <w:rStyle w:val="a4"/>
            <w:rFonts w:cs="Times New Roman"/>
            <w:sz w:val="28"/>
            <w:szCs w:val="28"/>
          </w:rPr>
          <w:t>grimoleg@yandex.ru</w:t>
        </w:r>
      </w:hyperlink>
      <w:r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03C5D" w:rsidRPr="00D04331" w:rsidRDefault="00430501" w:rsidP="00E768DA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AD2C6C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C520EA" w:rsidRPr="00D04331" w:rsidRDefault="00AD2C6C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r w:rsidR="00C2158B" w:rsidRPr="00D0433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Адаптацио</w:t>
      </w:r>
      <w:r w:rsidR="0085745B" w:rsidRPr="00D0433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нный потенциал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» личности и риски</w:t>
      </w:r>
      <w:bookmarkStart w:id="0" w:name="_GoBack"/>
      <w:bookmarkEnd w:id="0"/>
      <w:r w:rsidR="0085745B" w:rsidRPr="00D0433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745B" w:rsidRPr="00D04331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медиаэкосистемы</w:t>
      </w:r>
      <w:proofErr w:type="spellEnd"/>
    </w:p>
    <w:p w:rsidR="00C520EA" w:rsidRDefault="00E768DA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bdr w:val="none" w:sz="0" w:space="0" w:color="auto" w:frame="1"/>
        </w:rPr>
      </w:pPr>
      <w:r w:rsidRPr="00BB4ECD">
        <w:rPr>
          <w:color w:val="000000" w:themeColor="text1"/>
          <w:bdr w:val="none" w:sz="0" w:space="0" w:color="auto" w:frame="1"/>
        </w:rPr>
        <w:t xml:space="preserve">Исследование выполнено за счет гранта Российского научного фонда № 22-28-00486 «Человек в новой </w:t>
      </w:r>
      <w:proofErr w:type="spellStart"/>
      <w:r w:rsidRPr="00BB4ECD">
        <w:rPr>
          <w:color w:val="000000" w:themeColor="text1"/>
          <w:bdr w:val="none" w:sz="0" w:space="0" w:color="auto" w:frame="1"/>
        </w:rPr>
        <w:t>медиаэкосистеме</w:t>
      </w:r>
      <w:proofErr w:type="spellEnd"/>
      <w:r w:rsidRPr="00BB4ECD">
        <w:rPr>
          <w:color w:val="000000" w:themeColor="text1"/>
          <w:bdr w:val="none" w:sz="0" w:space="0" w:color="auto" w:frame="1"/>
        </w:rPr>
        <w:t xml:space="preserve">: ресурсы и стратегии </w:t>
      </w:r>
      <w:proofErr w:type="spellStart"/>
      <w:r w:rsidRPr="00BB4ECD">
        <w:rPr>
          <w:color w:val="000000" w:themeColor="text1"/>
          <w:bdr w:val="none" w:sz="0" w:space="0" w:color="auto" w:frame="1"/>
        </w:rPr>
        <w:t>взаиморазвития</w:t>
      </w:r>
      <w:proofErr w:type="spellEnd"/>
      <w:r w:rsidRPr="00BB4ECD">
        <w:rPr>
          <w:color w:val="000000" w:themeColor="text1"/>
          <w:bdr w:val="none" w:sz="0" w:space="0" w:color="auto" w:frame="1"/>
        </w:rPr>
        <w:t>»</w:t>
      </w:r>
      <w:r>
        <w:rPr>
          <w:color w:val="000000" w:themeColor="text1"/>
          <w:bdr w:val="none" w:sz="0" w:space="0" w:color="auto" w:frame="1"/>
        </w:rPr>
        <w:t>.</w:t>
      </w:r>
    </w:p>
    <w:p w:rsidR="00E768DA" w:rsidRPr="00D04331" w:rsidRDefault="00E768DA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503E4" w:rsidRPr="00D04331" w:rsidRDefault="0042084B" w:rsidP="00E768DA">
      <w:pPr>
        <w:spacing w:after="0" w:line="360" w:lineRule="auto"/>
        <w:ind w:firstLine="708"/>
        <w:jc w:val="both"/>
        <w:divId w:val="1169440093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  <w:r w:rsidRPr="0042084B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В статье обосновывается актуальность разработки концепта «адаптационный потенциал» для адекватного описания процессов адаптации индивида к рискам </w:t>
      </w:r>
      <w:proofErr w:type="spellStart"/>
      <w:r w:rsidRPr="0042084B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медиаэкосистемы</w:t>
      </w:r>
      <w:proofErr w:type="spellEnd"/>
      <w:r w:rsidRPr="0042084B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. Приводится теоретическая модель адаптационного потенциала, включающая ценностный уровень, уровень личностных диспозиций, уровень непосредственных практик.</w:t>
      </w:r>
    </w:p>
    <w:p w:rsidR="00F45A03" w:rsidRPr="00D04331" w:rsidRDefault="00F45A03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04331">
        <w:rPr>
          <w:bCs/>
          <w:color w:val="000000" w:themeColor="text1"/>
          <w:sz w:val="28"/>
          <w:szCs w:val="28"/>
        </w:rPr>
        <w:t>Ключевые слова:</w:t>
      </w:r>
      <w:r w:rsidR="00512FBF" w:rsidRPr="00D04331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5745B" w:rsidRPr="00D04331">
        <w:rPr>
          <w:color w:val="000000" w:themeColor="text1"/>
          <w:sz w:val="28"/>
          <w:szCs w:val="28"/>
          <w:bdr w:val="none" w:sz="0" w:space="0" w:color="auto" w:frame="1"/>
        </w:rPr>
        <w:t>медиаэкосистема</w:t>
      </w:r>
      <w:proofErr w:type="spellEnd"/>
      <w:r w:rsidR="0085745B" w:rsidRPr="00D04331">
        <w:rPr>
          <w:color w:val="000000" w:themeColor="text1"/>
          <w:sz w:val="28"/>
          <w:szCs w:val="28"/>
          <w:bdr w:val="none" w:sz="0" w:space="0" w:color="auto" w:frame="1"/>
        </w:rPr>
        <w:t>, адаптационный потенциал,</w:t>
      </w:r>
      <w:r w:rsidR="0042084B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2084B" w:rsidRPr="00D04331">
        <w:rPr>
          <w:color w:val="000000" w:themeColor="text1"/>
          <w:sz w:val="28"/>
          <w:szCs w:val="28"/>
          <w:bdr w:val="none" w:sz="0" w:space="0" w:color="auto" w:frame="1"/>
        </w:rPr>
        <w:t>медийные</w:t>
      </w:r>
      <w:proofErr w:type="spellEnd"/>
      <w:r w:rsidR="0042084B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практики</w:t>
      </w:r>
      <w:r w:rsidR="009F5B7C" w:rsidRPr="00D0433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D04331" w:rsidRDefault="007E6158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E22CA" w:rsidRDefault="00E264E7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Сложный процесс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коэволюции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и взаимного сопряжения человека и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медиаэкосистемы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определяет необходимость поиска адекватного категориального аппарата и эффективных эмпирических инструментов для описания и исследования данных процессов. Так, многообразие практик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медиапотребления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медиапроизводства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, осуществляемых в поле наличной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медийной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или цифровой культуры, может быть в совокупности названо практиками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медийной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активности субъекта (индивида, в меньшей степени – группы). Взаимодействие индивида и окружающей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медиасреды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было ранее проанализировано нами с помощью системы показателей входящей и исходящей активности. Входящая активность трактуется нами как совокупность институциональных факторов осуществления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медийных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практик, исходящая – как совокупность личных интенций и ценностей при реализации индивидом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медийных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практик.</w:t>
      </w:r>
      <w:r w:rsidRPr="00D04331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8037A3" w:rsidRDefault="00E264E7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D04331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Конфигурации различных модальностей входящей и исходящей активности формируют те или иные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медийные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стратегии субъектов. Обнаруженные в ходе эмпирического исследования [1] реально существующие индивидуальные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медиастратегии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инклюзивно-открытая</w:t>
      </w:r>
      <w:proofErr w:type="gram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, эксклюзивно-открытая, инклюзивно-консервативная, эксклюзивно-консервативная) нуждаются в дальнейшей верификации и изучении.</w:t>
      </w:r>
      <w:r w:rsidRPr="00D04331">
        <w:rPr>
          <w:color w:val="000000" w:themeColor="text1"/>
          <w:sz w:val="28"/>
          <w:szCs w:val="28"/>
        </w:rPr>
        <w:br/>
      </w:r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Одним из главных эмпирических показателей данных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медиастратегий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является их эффективность. Мы полагаем, что эффективность индивидуальных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медиастратегий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должна быть раскрыта посредством концепта «адаптационный потенциал», под которым мы понимаем совокупность личностных ресурсов </w:t>
      </w:r>
      <w:proofErr w:type="spellStart"/>
      <w:proofErr w:type="gram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интернет-пользователей</w:t>
      </w:r>
      <w:proofErr w:type="spellEnd"/>
      <w:proofErr w:type="gram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, определяющих уровень готовности индивида к эффективной коммуникации, производству и потреблению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медиаконтента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в современных институциональных условиях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медиаэкосистемы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(с учетом существующих рисков и ограничений) [1</w:t>
      </w:r>
      <w:r w:rsidR="000E26DC">
        <w:rPr>
          <w:color w:val="000000" w:themeColor="text1"/>
          <w:sz w:val="28"/>
          <w:szCs w:val="28"/>
          <w:bdr w:val="none" w:sz="0" w:space="0" w:color="auto" w:frame="1"/>
        </w:rPr>
        <w:t>: </w:t>
      </w:r>
      <w:r w:rsidRPr="00D04331">
        <w:rPr>
          <w:color w:val="000000" w:themeColor="text1"/>
          <w:sz w:val="28"/>
          <w:szCs w:val="28"/>
          <w:bdr w:val="none" w:sz="0" w:space="0" w:color="auto" w:frame="1"/>
        </w:rPr>
        <w:t>45].</w:t>
      </w:r>
    </w:p>
    <w:p w:rsidR="004B109A" w:rsidRDefault="00E264E7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Адаптационный потенциал представляется нам наиболее общим индикатором индивидуальной гибкости и восприимчивости к внешним условиям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медиаэкосистемы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. В теоретической модели адаптационного потенциала мы предварительно можем выделить:</w:t>
      </w:r>
      <w:r w:rsidRPr="00D04331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8037A3" w:rsidRDefault="000E26DC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– </w:t>
      </w:r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ценностный уровень, отражающий общие установки в сфере </w:t>
      </w:r>
      <w:proofErr w:type="spellStart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медиапотребления</w:t>
      </w:r>
      <w:proofErr w:type="spellEnd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медиапроизводства</w:t>
      </w:r>
      <w:proofErr w:type="spellEnd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. В него входят наиболее устойчивые ценности и ориентации, связанные с онтологическими и прагматическими аспектами </w:t>
      </w:r>
      <w:proofErr w:type="spellStart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медийных</w:t>
      </w:r>
      <w:proofErr w:type="spellEnd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практик;</w:t>
      </w:r>
    </w:p>
    <w:p w:rsidR="008037A3" w:rsidRDefault="000E26DC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– </w:t>
      </w:r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уровень личностных диспозиций, отражающих готовность к осуществлению </w:t>
      </w:r>
      <w:proofErr w:type="spellStart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медийных</w:t>
      </w:r>
      <w:proofErr w:type="spellEnd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практик. На этом уровне актуализируются непосредственно практические ориентации и </w:t>
      </w:r>
      <w:proofErr w:type="spellStart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аффордансы</w:t>
      </w:r>
      <w:proofErr w:type="spellEnd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0E26DC" w:rsidRDefault="000E26DC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– </w:t>
      </w:r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уровень непосредственных практик, трактуемых как процедурные шаги достижения </w:t>
      </w:r>
      <w:proofErr w:type="spellStart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медиакоммуникативных</w:t>
      </w:r>
      <w:proofErr w:type="spellEnd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целей.</w:t>
      </w:r>
    </w:p>
    <w:p w:rsidR="008037A3" w:rsidRDefault="00E264E7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Очевидно, что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проблематизация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адаптационного потенциала отвечает не только общей теоретической логике современного социологического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дискурса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, но и практическим потребностям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социогуманитарных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исследований современных </w:t>
      </w:r>
      <w:proofErr w:type="spellStart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D0433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B109A" w:rsidRDefault="00E264E7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04331">
        <w:rPr>
          <w:color w:val="000000" w:themeColor="text1"/>
          <w:sz w:val="28"/>
          <w:szCs w:val="28"/>
          <w:bdr w:val="none" w:sz="0" w:space="0" w:color="auto" w:frame="1"/>
        </w:rPr>
        <w:t>Дальнейшими направлениями научного поиска должны стать:</w:t>
      </w:r>
    </w:p>
    <w:p w:rsidR="004B109A" w:rsidRDefault="000E26DC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– </w:t>
      </w:r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концептуализация термина «адаптационный потенциал личности» в аспекте рисков и вызовов развития социальных </w:t>
      </w:r>
      <w:proofErr w:type="spellStart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4B109A" w:rsidRDefault="000E26DC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– </w:t>
      </w:r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разработка методологии диагностики уровня развития адаптационного потенциала личности к рискам </w:t>
      </w:r>
      <w:proofErr w:type="gramStart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социальных</w:t>
      </w:r>
      <w:proofErr w:type="gramEnd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760F54" w:rsidRPr="00D04331" w:rsidRDefault="000E26DC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– </w:t>
      </w:r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апробация разработанной мето</w:t>
      </w:r>
      <w:r>
        <w:rPr>
          <w:color w:val="000000" w:themeColor="text1"/>
          <w:sz w:val="28"/>
          <w:szCs w:val="28"/>
          <w:bdr w:val="none" w:sz="0" w:space="0" w:color="auto" w:frame="1"/>
        </w:rPr>
        <w:t>дологии на практическом уровне:</w:t>
      </w:r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 xml:space="preserve"> проведение эмпирического исследования на материале российского </w:t>
      </w:r>
      <w:proofErr w:type="spellStart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медиапространства</w:t>
      </w:r>
      <w:proofErr w:type="spellEnd"/>
      <w:r w:rsidR="00E264E7" w:rsidRPr="00D0433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D60C2" w:rsidRPr="00D04331" w:rsidRDefault="00DD60C2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D60C2" w:rsidRPr="00D04331" w:rsidRDefault="00DD60C2" w:rsidP="00E768D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D04331">
        <w:rPr>
          <w:color w:val="000000" w:themeColor="text1"/>
          <w:sz w:val="28"/>
          <w:szCs w:val="28"/>
          <w:bdr w:val="none" w:sz="0" w:space="0" w:color="auto" w:frame="1"/>
        </w:rPr>
        <w:t>Литература</w:t>
      </w:r>
    </w:p>
    <w:p w:rsidR="00DD60C2" w:rsidRPr="00D04331" w:rsidRDefault="005D3147" w:rsidP="00E768D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Гримов</w:t>
      </w:r>
      <w:r w:rsidR="000E26DC"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О.</w:t>
      </w:r>
      <w:r w:rsidR="000E26DC"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А., Белкина</w:t>
      </w:r>
      <w:r w:rsidR="000E26DC"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В.</w:t>
      </w:r>
      <w:r w:rsidR="000E26DC"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А. Индивидуальные стратегии </w:t>
      </w:r>
      <w:proofErr w:type="spellStart"/>
      <w:r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медиаак</w:t>
      </w:r>
      <w:r w:rsidR="000E26DC"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тивности</w:t>
      </w:r>
      <w:proofErr w:type="spellEnd"/>
      <w:r w:rsidR="000E26DC"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proofErr w:type="gramStart"/>
      <w:r w:rsidR="000E26DC"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интернет-пользователей</w:t>
      </w:r>
      <w:proofErr w:type="spellEnd"/>
      <w:proofErr w:type="gramEnd"/>
      <w:r w:rsidR="000E26DC"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// </w:t>
      </w:r>
      <w:r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Цифровая </w:t>
      </w:r>
      <w:r w:rsidR="000E26DC"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социология. 2022. Т. 5.</w:t>
      </w:r>
      <w:r w:rsidRPr="000E26DC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№ 4. С. 38–47.</w:t>
      </w:r>
    </w:p>
    <w:sectPr w:rsidR="00DD60C2" w:rsidRPr="00D04331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FE6" w:rsidRDefault="00F24FE6" w:rsidP="00D04331">
      <w:pPr>
        <w:spacing w:after="0" w:line="240" w:lineRule="auto"/>
      </w:pPr>
      <w:r>
        <w:separator/>
      </w:r>
    </w:p>
  </w:endnote>
  <w:endnote w:type="continuationSeparator" w:id="0">
    <w:p w:rsidR="00F24FE6" w:rsidRDefault="00F24FE6" w:rsidP="00D0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FE6" w:rsidRDefault="00F24FE6" w:rsidP="00D04331">
      <w:pPr>
        <w:spacing w:after="0" w:line="240" w:lineRule="auto"/>
      </w:pPr>
      <w:r>
        <w:separator/>
      </w:r>
    </w:p>
  </w:footnote>
  <w:footnote w:type="continuationSeparator" w:id="0">
    <w:p w:rsidR="00F24FE6" w:rsidRDefault="00F24FE6" w:rsidP="00D04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B79"/>
    <w:multiLevelType w:val="hybridMultilevel"/>
    <w:tmpl w:val="013A74D4"/>
    <w:lvl w:ilvl="0" w:tplc="8F425F92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  <w:color w:val="31313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14EED"/>
    <w:rsid w:val="000477A3"/>
    <w:rsid w:val="000A0B10"/>
    <w:rsid w:val="000C468C"/>
    <w:rsid w:val="000E22CA"/>
    <w:rsid w:val="000E26DC"/>
    <w:rsid w:val="000F388C"/>
    <w:rsid w:val="00107FCD"/>
    <w:rsid w:val="00184A17"/>
    <w:rsid w:val="00190BDE"/>
    <w:rsid w:val="001A616D"/>
    <w:rsid w:val="001B488B"/>
    <w:rsid w:val="002D09A5"/>
    <w:rsid w:val="0033159D"/>
    <w:rsid w:val="00347434"/>
    <w:rsid w:val="003833BC"/>
    <w:rsid w:val="003D1E9F"/>
    <w:rsid w:val="003E35B8"/>
    <w:rsid w:val="0042084B"/>
    <w:rsid w:val="00430501"/>
    <w:rsid w:val="004664F7"/>
    <w:rsid w:val="00471058"/>
    <w:rsid w:val="00482DCD"/>
    <w:rsid w:val="004A79B2"/>
    <w:rsid w:val="004B109A"/>
    <w:rsid w:val="004C6A0D"/>
    <w:rsid w:val="004D7A25"/>
    <w:rsid w:val="004E535D"/>
    <w:rsid w:val="00512FBF"/>
    <w:rsid w:val="00526D38"/>
    <w:rsid w:val="005D3147"/>
    <w:rsid w:val="005F6EE2"/>
    <w:rsid w:val="0063013C"/>
    <w:rsid w:val="006503E4"/>
    <w:rsid w:val="006D3740"/>
    <w:rsid w:val="007248D1"/>
    <w:rsid w:val="0073430E"/>
    <w:rsid w:val="00760F54"/>
    <w:rsid w:val="007B77B4"/>
    <w:rsid w:val="007E6158"/>
    <w:rsid w:val="007F6D16"/>
    <w:rsid w:val="008037A3"/>
    <w:rsid w:val="00815369"/>
    <w:rsid w:val="0085745B"/>
    <w:rsid w:val="00867ADE"/>
    <w:rsid w:val="00895C1D"/>
    <w:rsid w:val="00897048"/>
    <w:rsid w:val="008F41BD"/>
    <w:rsid w:val="009571D5"/>
    <w:rsid w:val="009B29AF"/>
    <w:rsid w:val="009F5B7C"/>
    <w:rsid w:val="009F639C"/>
    <w:rsid w:val="00A66FC6"/>
    <w:rsid w:val="00AB797C"/>
    <w:rsid w:val="00AD2C6C"/>
    <w:rsid w:val="00AD2ED1"/>
    <w:rsid w:val="00B03C5D"/>
    <w:rsid w:val="00B60CE7"/>
    <w:rsid w:val="00B64F3F"/>
    <w:rsid w:val="00B754A1"/>
    <w:rsid w:val="00B75E0A"/>
    <w:rsid w:val="00B96CCC"/>
    <w:rsid w:val="00BB4ECD"/>
    <w:rsid w:val="00BC1229"/>
    <w:rsid w:val="00BD7F67"/>
    <w:rsid w:val="00C2158B"/>
    <w:rsid w:val="00C520EA"/>
    <w:rsid w:val="00C7139D"/>
    <w:rsid w:val="00D04331"/>
    <w:rsid w:val="00D11FCE"/>
    <w:rsid w:val="00D13527"/>
    <w:rsid w:val="00D616A2"/>
    <w:rsid w:val="00D821BC"/>
    <w:rsid w:val="00D917C3"/>
    <w:rsid w:val="00DB0A89"/>
    <w:rsid w:val="00DB58D7"/>
    <w:rsid w:val="00DD60C2"/>
    <w:rsid w:val="00DE2601"/>
    <w:rsid w:val="00DF372C"/>
    <w:rsid w:val="00DF6996"/>
    <w:rsid w:val="00DF7A1F"/>
    <w:rsid w:val="00E1567F"/>
    <w:rsid w:val="00E264E7"/>
    <w:rsid w:val="00E6486B"/>
    <w:rsid w:val="00E7440B"/>
    <w:rsid w:val="00E768DA"/>
    <w:rsid w:val="00EB72F6"/>
    <w:rsid w:val="00F204E5"/>
    <w:rsid w:val="00F24FE6"/>
    <w:rsid w:val="00F45A03"/>
    <w:rsid w:val="00F508DF"/>
    <w:rsid w:val="00F65C6A"/>
    <w:rsid w:val="00F71C1E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043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043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043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mole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20</cp:revision>
  <cp:lastPrinted>2019-11-19T15:51:00Z</cp:lastPrinted>
  <dcterms:created xsi:type="dcterms:W3CDTF">2023-05-17T14:13:00Z</dcterms:created>
  <dcterms:modified xsi:type="dcterms:W3CDTF">2023-06-06T16:33:00Z</dcterms:modified>
</cp:coreProperties>
</file>