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B3" w:rsidRPr="00104003" w:rsidRDefault="00104003" w:rsidP="0010400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4003">
        <w:rPr>
          <w:rFonts w:cs="Times New Roman"/>
          <w:sz w:val="28"/>
          <w:szCs w:val="28"/>
        </w:rPr>
        <w:t xml:space="preserve">Елена Сергеевна </w:t>
      </w:r>
      <w:r w:rsidRPr="00104003">
        <w:rPr>
          <w:rFonts w:cs="Times New Roman"/>
          <w:sz w:val="28"/>
          <w:szCs w:val="28"/>
        </w:rPr>
        <w:t xml:space="preserve">Савченко </w:t>
      </w:r>
    </w:p>
    <w:p w:rsidR="00C72BB3" w:rsidRPr="00104003" w:rsidRDefault="00104003" w:rsidP="0010400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4003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C72BB3" w:rsidRPr="00104003" w:rsidRDefault="00104003" w:rsidP="00104003">
      <w:pPr>
        <w:spacing w:after="0" w:line="360" w:lineRule="auto"/>
        <w:ind w:firstLine="709"/>
        <w:jc w:val="both"/>
      </w:pPr>
      <w:hyperlink r:id="rId4" w:history="1">
        <w:r w:rsidRPr="006E33E7">
          <w:rPr>
            <w:rStyle w:val="a8"/>
            <w:rFonts w:eastAsia="Calibri" w:cs="Times New Roman"/>
            <w:sz w:val="28"/>
            <w:szCs w:val="28"/>
          </w:rPr>
          <w:t>savchenkoelena17@gmail.com</w:t>
        </w:r>
      </w:hyperlink>
      <w:r>
        <w:rPr>
          <w:rFonts w:eastAsia="Calibri" w:cs="Times New Roman"/>
          <w:sz w:val="28"/>
          <w:szCs w:val="28"/>
        </w:rPr>
        <w:t xml:space="preserve"> </w:t>
      </w:r>
      <w:r w:rsidRPr="00104003">
        <w:rPr>
          <w:rFonts w:eastAsia="Calibri" w:cs="Times New Roman"/>
          <w:sz w:val="28"/>
          <w:szCs w:val="28"/>
        </w:rPr>
        <w:t xml:space="preserve"> </w:t>
      </w:r>
    </w:p>
    <w:p w:rsidR="00C72BB3" w:rsidRPr="00104003" w:rsidRDefault="00C72BB3" w:rsidP="00104003">
      <w:pPr>
        <w:pStyle w:val="a7"/>
        <w:spacing w:beforeAutospacing="0" w:after="0" w:afterAutospacing="0" w:line="360" w:lineRule="auto"/>
        <w:ind w:firstLine="709"/>
        <w:jc w:val="both"/>
      </w:pPr>
    </w:p>
    <w:p w:rsidR="00C72BB3" w:rsidRPr="00104003" w:rsidRDefault="00104003" w:rsidP="00104003">
      <w:pPr>
        <w:pStyle w:val="a7"/>
        <w:spacing w:beforeAutospacing="0" w:after="0" w:afterAutospacing="0" w:line="360" w:lineRule="auto"/>
        <w:ind w:firstLine="709"/>
        <w:jc w:val="both"/>
      </w:pPr>
      <w:r w:rsidRPr="00104003">
        <w:rPr>
          <w:rFonts w:eastAsia="Calibri"/>
          <w:b/>
          <w:sz w:val="28"/>
          <w:szCs w:val="28"/>
          <w:lang w:eastAsia="en-US"/>
        </w:rPr>
        <w:t xml:space="preserve">Судебный GR как инструмент политических коммуникаций </w:t>
      </w:r>
    </w:p>
    <w:p w:rsidR="00C72BB3" w:rsidRPr="00104003" w:rsidRDefault="00C72BB3" w:rsidP="00104003">
      <w:pPr>
        <w:pStyle w:val="a7"/>
        <w:spacing w:beforeAutospacing="0" w:after="0" w:afterAutospacing="0" w:line="360" w:lineRule="auto"/>
        <w:ind w:firstLine="709"/>
        <w:jc w:val="both"/>
      </w:pPr>
    </w:p>
    <w:p w:rsidR="00C72BB3" w:rsidRPr="00104003" w:rsidRDefault="00104003" w:rsidP="0010400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4003">
        <w:rPr>
          <w:sz w:val="28"/>
          <w:szCs w:val="28"/>
        </w:rPr>
        <w:t>Выявлен новый формат взаимодействия</w:t>
      </w:r>
      <w:r w:rsidRPr="00104003">
        <w:rPr>
          <w:sz w:val="28"/>
          <w:szCs w:val="28"/>
        </w:rPr>
        <w:t xml:space="preserve"> в рамках GR-менеджмента – судебный GR. Судебный GR – кризисный формат взаимодействия </w:t>
      </w:r>
      <w:r w:rsidRPr="00104003">
        <w:rPr>
          <w:sz w:val="28"/>
          <w:szCs w:val="28"/>
        </w:rPr>
        <w:t>бизнеса с органами государственной власти посредством процедуры судебного процесса, основанный на управлении регулятивными рисками. В статье рассматриваетс</w:t>
      </w:r>
      <w:r w:rsidRPr="00104003">
        <w:rPr>
          <w:sz w:val="28"/>
          <w:szCs w:val="28"/>
        </w:rPr>
        <w:t>я судебный GR как инструмент политических коммуникаций</w:t>
      </w:r>
      <w:r w:rsidRPr="00104003">
        <w:rPr>
          <w:sz w:val="28"/>
          <w:szCs w:val="28"/>
        </w:rPr>
        <w:tab/>
        <w:t xml:space="preserve">. </w:t>
      </w:r>
    </w:p>
    <w:p w:rsidR="00C72BB3" w:rsidRPr="00104003" w:rsidRDefault="00104003" w:rsidP="0010400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4003">
        <w:rPr>
          <w:bCs/>
          <w:sz w:val="28"/>
          <w:szCs w:val="28"/>
        </w:rPr>
        <w:t>Ключевые слова:</w:t>
      </w:r>
      <w:r w:rsidRPr="001040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104003">
        <w:rPr>
          <w:bCs/>
          <w:sz w:val="28"/>
          <w:szCs w:val="28"/>
        </w:rPr>
        <w:t>удебный GR, GR-менеджмент, GR, политические коммуникации, регулятивные риски.</w:t>
      </w:r>
    </w:p>
    <w:p w:rsidR="00C72BB3" w:rsidRPr="00104003" w:rsidRDefault="00C72BB3" w:rsidP="0010400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4003" w:rsidRDefault="00104003" w:rsidP="0010400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4003">
        <w:rPr>
          <w:sz w:val="28"/>
          <w:szCs w:val="28"/>
        </w:rPr>
        <w:t>В современной отечественно</w:t>
      </w:r>
      <w:r>
        <w:rPr>
          <w:sz w:val="28"/>
          <w:szCs w:val="28"/>
        </w:rPr>
        <w:t xml:space="preserve">й практике GR-менеджмента особенно </w:t>
      </w:r>
      <w:r w:rsidRPr="00104003">
        <w:rPr>
          <w:sz w:val="28"/>
          <w:szCs w:val="28"/>
        </w:rPr>
        <w:t xml:space="preserve">актуальной становится необходимость </w:t>
      </w:r>
      <w:r w:rsidRPr="00104003">
        <w:rPr>
          <w:sz w:val="28"/>
          <w:szCs w:val="28"/>
        </w:rPr>
        <w:t>выделения в отдельное направление взаимодействи</w:t>
      </w:r>
      <w:r>
        <w:rPr>
          <w:sz w:val="28"/>
          <w:szCs w:val="28"/>
        </w:rPr>
        <w:t>я</w:t>
      </w:r>
      <w:r w:rsidRPr="00104003">
        <w:rPr>
          <w:sz w:val="28"/>
          <w:szCs w:val="28"/>
        </w:rPr>
        <w:t xml:space="preserve"> бизнеса с органами государственной власти посредством процедуры судебного процесса. Данный вариант взаимодействия можно трактовать как судебный GR. </w:t>
      </w:r>
    </w:p>
    <w:p w:rsidR="00C72BB3" w:rsidRPr="00104003" w:rsidRDefault="00104003" w:rsidP="00104003">
      <w:pPr>
        <w:pStyle w:val="a7"/>
        <w:spacing w:beforeAutospacing="0" w:after="0" w:afterAutospacing="0" w:line="360" w:lineRule="auto"/>
        <w:ind w:firstLine="709"/>
        <w:jc w:val="both"/>
      </w:pPr>
      <w:r w:rsidRPr="00104003">
        <w:rPr>
          <w:sz w:val="28"/>
          <w:szCs w:val="28"/>
        </w:rPr>
        <w:t xml:space="preserve">Судебный GR – это кризисный формат взаимодействия в рамках </w:t>
      </w:r>
      <w:r w:rsidRPr="00104003">
        <w:rPr>
          <w:sz w:val="28"/>
          <w:szCs w:val="28"/>
        </w:rPr>
        <w:t xml:space="preserve">GR-менеджмента, направленный на разрешение проблем с органами власти в рамках судебного процесса, инициированный субъектом GR. В России успешность функционирования бизнеса находится в зависимости от принятия органами власти норм, регулирующих деятельность </w:t>
      </w:r>
      <w:r w:rsidRPr="00104003">
        <w:rPr>
          <w:sz w:val="28"/>
          <w:szCs w:val="28"/>
        </w:rPr>
        <w:t>экономичес</w:t>
      </w:r>
      <w:r>
        <w:rPr>
          <w:sz w:val="28"/>
          <w:szCs w:val="28"/>
        </w:rPr>
        <w:t xml:space="preserve">ких </w:t>
      </w:r>
      <w:proofErr w:type="spellStart"/>
      <w:r>
        <w:rPr>
          <w:sz w:val="28"/>
          <w:szCs w:val="28"/>
        </w:rPr>
        <w:t>акторов</w:t>
      </w:r>
      <w:proofErr w:type="spellEnd"/>
      <w:r>
        <w:rPr>
          <w:sz w:val="28"/>
          <w:szCs w:val="28"/>
        </w:rPr>
        <w:t>. Этот процесс обусло</w:t>
      </w:r>
      <w:r w:rsidRPr="00104003">
        <w:rPr>
          <w:sz w:val="28"/>
          <w:szCs w:val="28"/>
        </w:rPr>
        <w:t xml:space="preserve">вливает </w:t>
      </w:r>
      <w:proofErr w:type="spellStart"/>
      <w:r w:rsidRPr="00104003">
        <w:rPr>
          <w:sz w:val="28"/>
          <w:szCs w:val="28"/>
        </w:rPr>
        <w:t>востребованность</w:t>
      </w:r>
      <w:proofErr w:type="spellEnd"/>
      <w:r w:rsidRPr="00104003">
        <w:rPr>
          <w:sz w:val="28"/>
          <w:szCs w:val="28"/>
        </w:rPr>
        <w:t xml:space="preserve"> управления рисками такого типа. Подобные риски принято классифицировать как регулятивные. Согласно общепринятому определению, под регулятивным риском понимается предусмотренная законом или </w:t>
      </w:r>
      <w:r w:rsidRPr="00104003">
        <w:rPr>
          <w:sz w:val="28"/>
          <w:szCs w:val="28"/>
        </w:rPr>
        <w:t xml:space="preserve">иным нормативным актом прямая или косвенная возможность применения ограничительных мер со стороны государственных органов к бизнес-процессам. Регулятивные риски связаны с </w:t>
      </w:r>
      <w:r w:rsidRPr="00104003">
        <w:rPr>
          <w:sz w:val="28"/>
          <w:szCs w:val="28"/>
        </w:rPr>
        <w:lastRenderedPageBreak/>
        <w:t>изменением законодательства, а также недостаточным или противоречивым правовым регули</w:t>
      </w:r>
      <w:r w:rsidRPr="00104003">
        <w:rPr>
          <w:sz w:val="28"/>
          <w:szCs w:val="28"/>
        </w:rPr>
        <w:t>рованием той или иной отрасли</w:t>
      </w:r>
      <w:r>
        <w:rPr>
          <w:sz w:val="28"/>
          <w:szCs w:val="28"/>
        </w:rPr>
        <w:t xml:space="preserve"> </w:t>
      </w:r>
      <w:r w:rsidRPr="00104003">
        <w:rPr>
          <w:sz w:val="28"/>
          <w:szCs w:val="28"/>
        </w:rPr>
        <w:t>[2]</w:t>
      </w:r>
      <w:r w:rsidRPr="00104003">
        <w:rPr>
          <w:sz w:val="28"/>
          <w:szCs w:val="28"/>
        </w:rPr>
        <w:t>.</w:t>
      </w:r>
    </w:p>
    <w:p w:rsidR="00C72BB3" w:rsidRPr="00104003" w:rsidRDefault="00104003" w:rsidP="00104003">
      <w:pPr>
        <w:pStyle w:val="a7"/>
        <w:spacing w:beforeAutospacing="0" w:after="0" w:afterAutospacing="0" w:line="360" w:lineRule="auto"/>
        <w:ind w:firstLine="709"/>
        <w:jc w:val="both"/>
      </w:pPr>
      <w:r w:rsidRPr="00104003">
        <w:rPr>
          <w:sz w:val="28"/>
          <w:szCs w:val="28"/>
        </w:rPr>
        <w:t xml:space="preserve">Судебный GR </w:t>
      </w:r>
      <w:r>
        <w:rPr>
          <w:sz w:val="28"/>
          <w:szCs w:val="28"/>
        </w:rPr>
        <w:t xml:space="preserve">– </w:t>
      </w:r>
      <w:r w:rsidRPr="00104003">
        <w:rPr>
          <w:sz w:val="28"/>
          <w:szCs w:val="28"/>
        </w:rPr>
        <w:t xml:space="preserve">один из методов кризисного управления регулятивными рисками. </w:t>
      </w:r>
      <w:proofErr w:type="gramStart"/>
      <w:r w:rsidRPr="00104003">
        <w:rPr>
          <w:sz w:val="28"/>
          <w:szCs w:val="28"/>
        </w:rPr>
        <w:t>С точки зрения политико-коммуникативных процессов судебный GR является формой репрезентации корпоративных интересов в политической сфере, в том числе сп</w:t>
      </w:r>
      <w:r w:rsidRPr="00104003">
        <w:rPr>
          <w:sz w:val="28"/>
          <w:szCs w:val="28"/>
        </w:rPr>
        <w:t>ецифическим способом репрезентации публичной коммуникативной деятельности.</w:t>
      </w:r>
      <w:proofErr w:type="gramEnd"/>
      <w:r w:rsidRPr="00104003">
        <w:rPr>
          <w:sz w:val="28"/>
          <w:szCs w:val="28"/>
        </w:rPr>
        <w:t xml:space="preserve"> Отметим, что судебный GR как инструмент политических коммуникаций </w:t>
      </w:r>
      <w:r>
        <w:rPr>
          <w:sz w:val="28"/>
          <w:szCs w:val="28"/>
        </w:rPr>
        <w:t xml:space="preserve">– </w:t>
      </w:r>
      <w:r w:rsidRPr="00104003">
        <w:rPr>
          <w:sz w:val="28"/>
          <w:szCs w:val="28"/>
        </w:rPr>
        <w:t>достаточно многозначный феномен, на характеристики которого могут влиять различные факторы, начиная со специфики би</w:t>
      </w:r>
      <w:r w:rsidRPr="00104003">
        <w:rPr>
          <w:sz w:val="28"/>
          <w:szCs w:val="28"/>
        </w:rPr>
        <w:t>знеса или иной структуры и заканчивая масштабом проблемы, которая затрагивает деятельность инициатора судебного процесса.</w:t>
      </w:r>
    </w:p>
    <w:p w:rsidR="00C72BB3" w:rsidRPr="00104003" w:rsidRDefault="00104003" w:rsidP="00104003">
      <w:pPr>
        <w:pStyle w:val="a7"/>
        <w:spacing w:beforeAutospacing="0" w:after="0" w:afterAutospacing="0" w:line="360" w:lineRule="auto"/>
        <w:ind w:firstLine="709"/>
        <w:jc w:val="both"/>
      </w:pPr>
      <w:r w:rsidRPr="00104003">
        <w:rPr>
          <w:sz w:val="28"/>
          <w:szCs w:val="28"/>
        </w:rPr>
        <w:t>Политические коммуникации создают информационную нишу для GR-менеджмента. Данное обстоятельство позволяет понять, как происходит преоб</w:t>
      </w:r>
      <w:r w:rsidRPr="00104003">
        <w:rPr>
          <w:sz w:val="28"/>
          <w:szCs w:val="28"/>
        </w:rPr>
        <w:t>разование регуляторного риска в определенное понимание ситуации в контексте политических коммуникаций [4]</w:t>
      </w:r>
      <w:r w:rsidRPr="00104003">
        <w:rPr>
          <w:sz w:val="28"/>
          <w:szCs w:val="28"/>
        </w:rPr>
        <w:t xml:space="preserve">. Оптимальная устойчивость эффекта политической коммуникации в </w:t>
      </w:r>
      <w:proofErr w:type="gramStart"/>
      <w:r w:rsidRPr="00104003">
        <w:rPr>
          <w:sz w:val="28"/>
          <w:szCs w:val="28"/>
        </w:rPr>
        <w:t>судебном</w:t>
      </w:r>
      <w:proofErr w:type="gramEnd"/>
      <w:r w:rsidRPr="00104003">
        <w:rPr>
          <w:sz w:val="28"/>
          <w:szCs w:val="28"/>
        </w:rPr>
        <w:t xml:space="preserve"> GR обеспечивается через принцип преобразования оригинальной ситуации в образы при п</w:t>
      </w:r>
      <w:r w:rsidRPr="00104003">
        <w:rPr>
          <w:sz w:val="28"/>
          <w:szCs w:val="28"/>
        </w:rPr>
        <w:t xml:space="preserve">омощи информационно-коммуникативных технологий: путем судебного GR как инструмента политической коммуникации происходит трансформация социально-политической среды бизнес-процессов. Осуществляется формирование </w:t>
      </w:r>
      <w:proofErr w:type="spellStart"/>
      <w:r w:rsidRPr="00104003">
        <w:rPr>
          <w:sz w:val="28"/>
          <w:szCs w:val="28"/>
        </w:rPr>
        <w:t>многоаспектного</w:t>
      </w:r>
      <w:proofErr w:type="spellEnd"/>
      <w:r w:rsidRPr="00104003">
        <w:rPr>
          <w:sz w:val="28"/>
          <w:szCs w:val="28"/>
        </w:rPr>
        <w:t xml:space="preserve"> эффекта, достигающегося через п</w:t>
      </w:r>
      <w:r w:rsidRPr="00104003">
        <w:rPr>
          <w:sz w:val="28"/>
          <w:szCs w:val="28"/>
        </w:rPr>
        <w:t xml:space="preserve">олитическую коммуникацию, ключевой особенностью которого является вовлечение в политические процессы, связанные в той или иной степени с функционированием </w:t>
      </w:r>
      <w:proofErr w:type="spellStart"/>
      <w:proofErr w:type="gramStart"/>
      <w:r w:rsidRPr="00104003">
        <w:rPr>
          <w:sz w:val="28"/>
          <w:szCs w:val="28"/>
        </w:rPr>
        <w:t>бизнес-структур</w:t>
      </w:r>
      <w:proofErr w:type="spellEnd"/>
      <w:proofErr w:type="gramEnd"/>
      <w:r w:rsidRPr="00104003">
        <w:rPr>
          <w:sz w:val="28"/>
          <w:szCs w:val="28"/>
        </w:rPr>
        <w:t>, разнообразных заинтересованных общественных групп, что обеспечивает инициацию вырабо</w:t>
      </w:r>
      <w:r w:rsidRPr="00104003">
        <w:rPr>
          <w:sz w:val="28"/>
          <w:szCs w:val="28"/>
        </w:rPr>
        <w:t xml:space="preserve">тки нового восприятия взаимодействия бизнеса с органами власти. С помощью средств массовой коммуникации определяется вектор обсуждения событий, </w:t>
      </w:r>
      <w:r>
        <w:rPr>
          <w:sz w:val="28"/>
          <w:szCs w:val="28"/>
        </w:rPr>
        <w:t>то есть</w:t>
      </w:r>
      <w:r w:rsidRPr="00104003">
        <w:rPr>
          <w:sz w:val="28"/>
          <w:szCs w:val="28"/>
        </w:rPr>
        <w:t xml:space="preserve"> задается направление интерпретаций. Необходимо отметить, что расширение разнообразия форм и средств массово</w:t>
      </w:r>
      <w:r w:rsidRPr="00104003">
        <w:rPr>
          <w:sz w:val="28"/>
          <w:szCs w:val="28"/>
        </w:rPr>
        <w:t xml:space="preserve">й коммуникации повлекло целый </w:t>
      </w:r>
      <w:r w:rsidRPr="00104003">
        <w:rPr>
          <w:sz w:val="28"/>
          <w:szCs w:val="28"/>
        </w:rPr>
        <w:lastRenderedPageBreak/>
        <w:t xml:space="preserve">комплекс новых средств мобилизации, делающих общественное мнение более восприимчивым. Процессы развития политической коммуникации и судебного GR тесно переплетены: результативная модель </w:t>
      </w:r>
      <w:proofErr w:type="spellStart"/>
      <w:r w:rsidRPr="00104003">
        <w:rPr>
          <w:sz w:val="28"/>
          <w:szCs w:val="28"/>
        </w:rPr>
        <w:t>дискурса</w:t>
      </w:r>
      <w:proofErr w:type="spellEnd"/>
      <w:r w:rsidRPr="00104003">
        <w:rPr>
          <w:sz w:val="28"/>
          <w:szCs w:val="28"/>
        </w:rPr>
        <w:t xml:space="preserve"> в кризисном ключе сказывается н</w:t>
      </w:r>
      <w:r w:rsidRPr="00104003">
        <w:rPr>
          <w:sz w:val="28"/>
          <w:szCs w:val="28"/>
        </w:rPr>
        <w:t xml:space="preserve">а </w:t>
      </w:r>
      <w:proofErr w:type="gramStart"/>
      <w:r w:rsidRPr="00104003">
        <w:rPr>
          <w:sz w:val="28"/>
          <w:szCs w:val="28"/>
        </w:rPr>
        <w:t>решениях</w:t>
      </w:r>
      <w:proofErr w:type="gramEnd"/>
      <w:r w:rsidRPr="00104003">
        <w:rPr>
          <w:sz w:val="28"/>
          <w:szCs w:val="28"/>
        </w:rPr>
        <w:t xml:space="preserve"> как со стороны бизнеса, так и со стороны органов власти [1]</w:t>
      </w:r>
      <w:r w:rsidRPr="00104003">
        <w:rPr>
          <w:sz w:val="28"/>
          <w:szCs w:val="28"/>
        </w:rPr>
        <w:t>.</w:t>
      </w:r>
    </w:p>
    <w:p w:rsidR="00C72BB3" w:rsidRPr="00104003" w:rsidRDefault="00104003" w:rsidP="00104003">
      <w:pPr>
        <w:pStyle w:val="a7"/>
        <w:spacing w:beforeAutospacing="0" w:after="0" w:afterAutospacing="0" w:line="360" w:lineRule="auto"/>
        <w:ind w:firstLine="709"/>
        <w:jc w:val="both"/>
      </w:pPr>
      <w:proofErr w:type="gramStart"/>
      <w:r w:rsidRPr="00104003">
        <w:rPr>
          <w:sz w:val="28"/>
          <w:szCs w:val="28"/>
        </w:rPr>
        <w:t xml:space="preserve">Система политической коммуникации </w:t>
      </w:r>
      <w:r>
        <w:rPr>
          <w:sz w:val="28"/>
          <w:szCs w:val="28"/>
        </w:rPr>
        <w:t xml:space="preserve">– </w:t>
      </w:r>
      <w:r w:rsidRPr="00104003">
        <w:rPr>
          <w:sz w:val="28"/>
          <w:szCs w:val="28"/>
        </w:rPr>
        <w:t xml:space="preserve">стратегически важное звено в судебном GR в процессе взаимодействия с внешней социальной средой: политический </w:t>
      </w:r>
      <w:proofErr w:type="spellStart"/>
      <w:r w:rsidRPr="00104003">
        <w:rPr>
          <w:sz w:val="28"/>
          <w:szCs w:val="28"/>
        </w:rPr>
        <w:t>дискурс</w:t>
      </w:r>
      <w:proofErr w:type="spellEnd"/>
      <w:r w:rsidRPr="00104003">
        <w:rPr>
          <w:sz w:val="28"/>
          <w:szCs w:val="28"/>
        </w:rPr>
        <w:t xml:space="preserve"> определяет новые цели, направления и </w:t>
      </w:r>
      <w:r w:rsidRPr="00104003">
        <w:rPr>
          <w:sz w:val="28"/>
          <w:szCs w:val="28"/>
        </w:rPr>
        <w:t>подходы во взаимодействии с органами государственной власти [3]</w:t>
      </w:r>
      <w:r w:rsidRPr="00104003">
        <w:rPr>
          <w:sz w:val="28"/>
          <w:szCs w:val="28"/>
        </w:rPr>
        <w:t>.</w:t>
      </w:r>
      <w:proofErr w:type="gramEnd"/>
      <w:r w:rsidRPr="00104003">
        <w:rPr>
          <w:sz w:val="28"/>
          <w:szCs w:val="28"/>
        </w:rPr>
        <w:t xml:space="preserve"> Преобразование регулятивных рисков в конкретные действия и реализованные подходы способны сформулировать мотивацию к изменению GR-менеджмента у представителей бизнеса, НКО, профессиональных объед</w:t>
      </w:r>
      <w:r w:rsidRPr="00104003">
        <w:rPr>
          <w:sz w:val="28"/>
          <w:szCs w:val="28"/>
        </w:rPr>
        <w:t xml:space="preserve">инений, а также дальнейшую координацию совместных проблемных вопросов. </w:t>
      </w:r>
    </w:p>
    <w:p w:rsidR="00C72BB3" w:rsidRPr="00104003" w:rsidRDefault="00C72BB3" w:rsidP="0010400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72BB3" w:rsidRPr="00104003" w:rsidRDefault="00104003" w:rsidP="0010400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4003">
        <w:rPr>
          <w:sz w:val="28"/>
          <w:szCs w:val="28"/>
        </w:rPr>
        <w:t>Литература</w:t>
      </w:r>
    </w:p>
    <w:p w:rsidR="00104003" w:rsidRPr="00104003" w:rsidRDefault="00104003" w:rsidP="00104003">
      <w:pPr>
        <w:pStyle w:val="a7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1</w:t>
      </w:r>
      <w:r w:rsidRPr="0010400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04003">
        <w:rPr>
          <w:sz w:val="28"/>
          <w:szCs w:val="28"/>
        </w:rPr>
        <w:t>Абрамова</w:t>
      </w:r>
      <w:r>
        <w:rPr>
          <w:sz w:val="28"/>
          <w:szCs w:val="28"/>
        </w:rPr>
        <w:t> </w:t>
      </w:r>
      <w:r w:rsidRPr="00104003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104003">
        <w:rPr>
          <w:sz w:val="28"/>
          <w:szCs w:val="28"/>
        </w:rPr>
        <w:t xml:space="preserve">Г., </w:t>
      </w:r>
      <w:proofErr w:type="spellStart"/>
      <w:r w:rsidRPr="00104003">
        <w:rPr>
          <w:sz w:val="28"/>
          <w:szCs w:val="28"/>
        </w:rPr>
        <w:t>Мухаев</w:t>
      </w:r>
      <w:proofErr w:type="spellEnd"/>
      <w:r>
        <w:rPr>
          <w:sz w:val="28"/>
          <w:szCs w:val="28"/>
        </w:rPr>
        <w:t> </w:t>
      </w:r>
      <w:r w:rsidRPr="00104003">
        <w:rPr>
          <w:sz w:val="28"/>
          <w:szCs w:val="28"/>
        </w:rPr>
        <w:t>Р.</w:t>
      </w:r>
      <w:r>
        <w:rPr>
          <w:sz w:val="28"/>
          <w:szCs w:val="28"/>
        </w:rPr>
        <w:t> </w:t>
      </w:r>
      <w:r w:rsidRPr="00104003">
        <w:rPr>
          <w:sz w:val="28"/>
          <w:szCs w:val="28"/>
        </w:rPr>
        <w:t>Т. GR как инструмент повышения эффективности современного государственного управления // Политика и Общество. 2019. № 4. С. 1</w:t>
      </w:r>
      <w:r>
        <w:rPr>
          <w:sz w:val="28"/>
          <w:szCs w:val="28"/>
        </w:rPr>
        <w:t>–</w:t>
      </w:r>
      <w:r w:rsidRPr="00104003">
        <w:rPr>
          <w:sz w:val="28"/>
          <w:szCs w:val="28"/>
        </w:rPr>
        <w:t>19.</w:t>
      </w:r>
    </w:p>
    <w:p w:rsidR="00C72BB3" w:rsidRPr="00104003" w:rsidRDefault="00104003" w:rsidP="00104003">
      <w:pPr>
        <w:pStyle w:val="a7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2. Белов Д. </w:t>
      </w:r>
      <w:r w:rsidRPr="00104003">
        <w:rPr>
          <w:sz w:val="28"/>
          <w:szCs w:val="28"/>
        </w:rPr>
        <w:t>С. Роль GR-подразделений в управлении регулятивными рисками в период кризиса // Вестник Московского ун</w:t>
      </w:r>
      <w:r>
        <w:rPr>
          <w:sz w:val="28"/>
          <w:szCs w:val="28"/>
        </w:rPr>
        <w:t>-</w:t>
      </w:r>
      <w:r w:rsidRPr="00104003">
        <w:rPr>
          <w:sz w:val="28"/>
          <w:szCs w:val="28"/>
        </w:rPr>
        <w:t>та. Серия 12. Политические науки. 2009. № 5. С. 41</w:t>
      </w:r>
      <w:r>
        <w:rPr>
          <w:sz w:val="28"/>
          <w:szCs w:val="28"/>
        </w:rPr>
        <w:t>–</w:t>
      </w:r>
      <w:r w:rsidRPr="00104003">
        <w:rPr>
          <w:sz w:val="28"/>
          <w:szCs w:val="28"/>
        </w:rPr>
        <w:t>46.</w:t>
      </w:r>
    </w:p>
    <w:p w:rsidR="00C72BB3" w:rsidRPr="00104003" w:rsidRDefault="00104003" w:rsidP="00104003">
      <w:pPr>
        <w:pStyle w:val="a7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3</w:t>
      </w:r>
      <w:r w:rsidRPr="0010400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104003">
        <w:rPr>
          <w:sz w:val="28"/>
          <w:szCs w:val="28"/>
        </w:rPr>
        <w:t>Мухаев</w:t>
      </w:r>
      <w:proofErr w:type="spellEnd"/>
      <w:r>
        <w:rPr>
          <w:sz w:val="28"/>
          <w:szCs w:val="28"/>
        </w:rPr>
        <w:t> </w:t>
      </w:r>
      <w:r w:rsidRPr="00104003">
        <w:rPr>
          <w:sz w:val="28"/>
          <w:szCs w:val="28"/>
        </w:rPr>
        <w:t>Р.</w:t>
      </w:r>
      <w:r>
        <w:rPr>
          <w:sz w:val="28"/>
          <w:szCs w:val="28"/>
        </w:rPr>
        <w:t> </w:t>
      </w:r>
      <w:r w:rsidRPr="00104003">
        <w:rPr>
          <w:sz w:val="28"/>
          <w:szCs w:val="28"/>
        </w:rPr>
        <w:t>Т. GR-менеджмент: наука или искусство эффективной публичной коммуникации? (Окончание) // Знание. Понимание. Умение. 2018. №</w:t>
      </w:r>
      <w:r>
        <w:rPr>
          <w:sz w:val="28"/>
          <w:szCs w:val="28"/>
        </w:rPr>
        <w:t> 2. С. 173–</w:t>
      </w:r>
      <w:r w:rsidRPr="00104003">
        <w:rPr>
          <w:sz w:val="28"/>
          <w:szCs w:val="28"/>
        </w:rPr>
        <w:t>190.</w:t>
      </w:r>
    </w:p>
    <w:p w:rsidR="00104003" w:rsidRPr="00104003" w:rsidRDefault="00104003" w:rsidP="00104003">
      <w:pPr>
        <w:pStyle w:val="a7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4</w:t>
      </w:r>
      <w:r w:rsidRPr="0010400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04003">
        <w:rPr>
          <w:sz w:val="28"/>
          <w:szCs w:val="28"/>
        </w:rPr>
        <w:t>Тимофеева</w:t>
      </w:r>
      <w:r>
        <w:rPr>
          <w:sz w:val="28"/>
          <w:szCs w:val="28"/>
        </w:rPr>
        <w:t> </w:t>
      </w:r>
      <w:r w:rsidRPr="00104003">
        <w:rPr>
          <w:sz w:val="28"/>
          <w:szCs w:val="28"/>
        </w:rPr>
        <w:t>Л</w:t>
      </w:r>
      <w:r>
        <w:rPr>
          <w:sz w:val="28"/>
          <w:szCs w:val="28"/>
        </w:rPr>
        <w:t>. </w:t>
      </w:r>
      <w:r w:rsidRPr="0010400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104003">
        <w:rPr>
          <w:sz w:val="28"/>
          <w:szCs w:val="28"/>
        </w:rPr>
        <w:t xml:space="preserve"> Политическая </w:t>
      </w:r>
      <w:proofErr w:type="spellStart"/>
      <w:r w:rsidRPr="00104003">
        <w:rPr>
          <w:sz w:val="28"/>
          <w:szCs w:val="28"/>
        </w:rPr>
        <w:t>коммуникативистика</w:t>
      </w:r>
      <w:proofErr w:type="spellEnd"/>
      <w:r w:rsidRPr="00104003">
        <w:rPr>
          <w:sz w:val="28"/>
          <w:szCs w:val="28"/>
        </w:rPr>
        <w:t xml:space="preserve"> в России: проблемы становления // </w:t>
      </w:r>
      <w:proofErr w:type="spellStart"/>
      <w:r w:rsidRPr="00104003">
        <w:rPr>
          <w:sz w:val="28"/>
          <w:szCs w:val="28"/>
        </w:rPr>
        <w:t>Комм</w:t>
      </w:r>
      <w:r w:rsidRPr="00104003">
        <w:rPr>
          <w:sz w:val="28"/>
          <w:szCs w:val="28"/>
        </w:rPr>
        <w:t>уникология</w:t>
      </w:r>
      <w:proofErr w:type="spellEnd"/>
      <w:r w:rsidRPr="00104003">
        <w:rPr>
          <w:sz w:val="28"/>
          <w:szCs w:val="28"/>
        </w:rPr>
        <w:t>. 2014. №</w:t>
      </w:r>
      <w:r>
        <w:rPr>
          <w:sz w:val="28"/>
          <w:szCs w:val="28"/>
        </w:rPr>
        <w:t> </w:t>
      </w:r>
      <w:r w:rsidRPr="00104003">
        <w:rPr>
          <w:sz w:val="28"/>
          <w:szCs w:val="28"/>
        </w:rPr>
        <w:t>3. С. 47</w:t>
      </w:r>
      <w:r>
        <w:rPr>
          <w:sz w:val="28"/>
          <w:szCs w:val="28"/>
        </w:rPr>
        <w:t>–</w:t>
      </w:r>
      <w:r w:rsidRPr="00104003">
        <w:rPr>
          <w:sz w:val="28"/>
          <w:szCs w:val="28"/>
        </w:rPr>
        <w:t>62.</w:t>
      </w:r>
    </w:p>
    <w:sectPr w:rsidR="00104003" w:rsidRPr="00104003" w:rsidSect="00C72BB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2BB3"/>
    <w:rsid w:val="00104003"/>
    <w:rsid w:val="00C7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C72B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72BB3"/>
    <w:pPr>
      <w:spacing w:after="140"/>
    </w:pPr>
  </w:style>
  <w:style w:type="paragraph" w:styleId="a5">
    <w:name w:val="List"/>
    <w:basedOn w:val="a4"/>
    <w:rsid w:val="00C72BB3"/>
    <w:rPr>
      <w:rFonts w:cs="Arial"/>
    </w:rPr>
  </w:style>
  <w:style w:type="paragraph" w:customStyle="1" w:styleId="Caption">
    <w:name w:val="Caption"/>
    <w:basedOn w:val="a"/>
    <w:qFormat/>
    <w:rsid w:val="00C72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72BB3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4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chenkoelena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751</Words>
  <Characters>4282</Characters>
  <Application>Microsoft Office Word</Application>
  <DocSecurity>0</DocSecurity>
  <Lines>35</Lines>
  <Paragraphs>10</Paragraphs>
  <ScaleCrop>false</ScaleCrop>
  <Company>Grizli777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Александр</cp:lastModifiedBy>
  <cp:revision>8</cp:revision>
  <cp:lastPrinted>2019-11-19T15:51:00Z</cp:lastPrinted>
  <dcterms:created xsi:type="dcterms:W3CDTF">2020-02-21T13:21:00Z</dcterms:created>
  <dcterms:modified xsi:type="dcterms:W3CDTF">2022-04-16T17:04:00Z</dcterms:modified>
  <dc:language>ru-RU</dc:language>
</cp:coreProperties>
</file>