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E5" w:rsidRPr="004A1A34" w:rsidRDefault="00170AE5" w:rsidP="004A1A34">
      <w:pPr>
        <w:spacing w:line="360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4A1A34">
        <w:rPr>
          <w:rFonts w:eastAsia="Times New Roman" w:cs="Times New Roman"/>
          <w:bCs/>
          <w:szCs w:val="28"/>
          <w:lang w:eastAsia="ru-RU"/>
        </w:rPr>
        <w:t>Ольга Ивановна </w:t>
      </w:r>
      <w:proofErr w:type="spellStart"/>
      <w:r w:rsidRPr="004A1A34">
        <w:rPr>
          <w:rFonts w:eastAsia="Times New Roman" w:cs="Times New Roman"/>
          <w:bCs/>
          <w:szCs w:val="28"/>
          <w:lang w:eastAsia="ru-RU"/>
        </w:rPr>
        <w:t>Лепилкина</w:t>
      </w:r>
      <w:proofErr w:type="spellEnd"/>
    </w:p>
    <w:p w:rsidR="00170AE5" w:rsidRP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spellStart"/>
      <w:r w:rsidRPr="00170AE5">
        <w:rPr>
          <w:rFonts w:eastAsia="Times New Roman" w:cs="Times New Roman"/>
          <w:szCs w:val="28"/>
          <w:lang w:eastAsia="ru-RU"/>
        </w:rPr>
        <w:t>Северо-Кавказский</w:t>
      </w:r>
      <w:proofErr w:type="spellEnd"/>
      <w:r w:rsidRPr="00170AE5">
        <w:rPr>
          <w:rFonts w:eastAsia="Times New Roman" w:cs="Times New Roman"/>
          <w:szCs w:val="28"/>
          <w:lang w:eastAsia="ru-RU"/>
        </w:rPr>
        <w:t xml:space="preserve"> федеральный университет</w:t>
      </w:r>
      <w:r w:rsidR="004A1A34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4A1A34">
        <w:rPr>
          <w:rFonts w:eastAsia="Times New Roman" w:cs="Times New Roman"/>
          <w:szCs w:val="28"/>
          <w:lang w:eastAsia="ru-RU"/>
        </w:rPr>
        <w:t>г</w:t>
      </w:r>
      <w:proofErr w:type="gramEnd"/>
      <w:r w:rsidR="004A1A34">
        <w:rPr>
          <w:rFonts w:eastAsia="Times New Roman" w:cs="Times New Roman"/>
          <w:szCs w:val="28"/>
          <w:lang w:eastAsia="ru-RU"/>
        </w:rPr>
        <w:t>. Ставрополь</w:t>
      </w:r>
    </w:p>
    <w:p w:rsidR="004A1A34" w:rsidRDefault="004A1A34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hyperlink r:id="rId4" w:history="1">
        <w:r w:rsidRPr="00001023">
          <w:rPr>
            <w:rStyle w:val="a4"/>
            <w:rFonts w:eastAsia="Times New Roman" w:cs="Times New Roman"/>
            <w:szCs w:val="28"/>
            <w:lang w:eastAsia="ru-RU"/>
          </w:rPr>
          <w:t>oll5@mail.ru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</w:p>
    <w:p w:rsidR="004A1A34" w:rsidRDefault="004A1A34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70AE5" w:rsidRP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b/>
          <w:bCs/>
          <w:szCs w:val="28"/>
          <w:lang w:eastAsia="ru-RU"/>
        </w:rPr>
        <w:t>Историческая тематика в журнале «Труды Вольного общества любителей российской словесности» (1818–1825)</w:t>
      </w: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170AE5" w:rsidRP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Просветительский журнал «Труды Вольного общества любителей российской словесности» (1818–1825) активно освещал историческую тематику, обращался прежде всего к древней истории и событиям Отечественной войны 1812 года и транслировал на основе фактов из прошлого идеи свободы и гражданского мужества.</w:t>
      </w:r>
    </w:p>
    <w:p w:rsidR="00170AE5" w:rsidRP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Ключевые слова:</w:t>
      </w:r>
      <w:r w:rsidR="004A1A3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70AE5">
        <w:rPr>
          <w:rFonts w:eastAsia="Times New Roman" w:cs="Times New Roman"/>
          <w:szCs w:val="28"/>
          <w:lang w:eastAsia="ru-RU"/>
        </w:rPr>
        <w:t>Труды Вольного общества любителей российской словесности, история, свобода, просвещение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Концепция журнала «Труды Вольного общества любителей россий</w:t>
      </w:r>
      <w:r w:rsidR="004A1A34">
        <w:rPr>
          <w:rFonts w:eastAsia="Times New Roman" w:cs="Times New Roman"/>
          <w:szCs w:val="28"/>
          <w:lang w:eastAsia="ru-RU"/>
        </w:rPr>
        <w:t>ской словесности» (1818–1825 годы)</w:t>
      </w:r>
      <w:r w:rsidRPr="00170AE5">
        <w:rPr>
          <w:rFonts w:eastAsia="Times New Roman" w:cs="Times New Roman"/>
          <w:szCs w:val="28"/>
          <w:lang w:eastAsia="ru-RU"/>
        </w:rPr>
        <w:t xml:space="preserve"> определялась идеей, заявленной в названии, под которым это издание более изв</w:t>
      </w:r>
      <w:r w:rsidR="004A1A34">
        <w:rPr>
          <w:rFonts w:eastAsia="Times New Roman" w:cs="Times New Roman"/>
          <w:szCs w:val="28"/>
          <w:lang w:eastAsia="ru-RU"/>
        </w:rPr>
        <w:t>естно:</w:t>
      </w:r>
      <w:r w:rsidRPr="00170AE5">
        <w:rPr>
          <w:rFonts w:eastAsia="Times New Roman" w:cs="Times New Roman"/>
          <w:szCs w:val="28"/>
          <w:lang w:eastAsia="ru-RU"/>
        </w:rPr>
        <w:t xml:space="preserve"> «Соревнователь просвещения и благотворения». </w:t>
      </w:r>
    </w:p>
    <w:p w:rsidR="008F022A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Заметное место в журнале, целевым назначением которого было просвещение читательской аудитории, отводилось исторической тематике, этнографическим и археологическим наблюдениям, изысканиям в области фольклора. Так, один из номеров за 1820 год начинался со статьи М.</w:t>
      </w:r>
      <w:r w:rsidR="004A1A34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А.</w:t>
      </w:r>
      <w:r w:rsidR="004A1A34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 xml:space="preserve">Корфа «Четыре первых божества Индии», представлявшей собой выдержки из задуманного автором «Опыта полного мифологического словаря всех народов». Статья представляла читателям </w:t>
      </w:r>
      <w:proofErr w:type="spellStart"/>
      <w:r w:rsidRPr="00170AE5">
        <w:rPr>
          <w:rFonts w:eastAsia="Times New Roman" w:cs="Times New Roman"/>
          <w:szCs w:val="28"/>
          <w:lang w:eastAsia="ru-RU"/>
        </w:rPr>
        <w:t>Парабраму</w:t>
      </w:r>
      <w:proofErr w:type="spellEnd"/>
      <w:r w:rsidRPr="00170AE5">
        <w:rPr>
          <w:rFonts w:eastAsia="Times New Roman" w:cs="Times New Roman"/>
          <w:szCs w:val="28"/>
          <w:lang w:eastAsia="ru-RU"/>
        </w:rPr>
        <w:t xml:space="preserve">, Браму, Висну, Хиву. Пересказ мифов, связанных с их именами, сопровождался сопоставлением с мифологиями других народов и ссылками на существующие исследования по данному вопросу. </w:t>
      </w: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lastRenderedPageBreak/>
        <w:t xml:space="preserve">Древняя история – это постоянная тема научных статей, помещаемых в журнале, что сближало его с другими изданиями той поры. </w:t>
      </w:r>
      <w:proofErr w:type="gramStart"/>
      <w:r w:rsidRPr="00170AE5">
        <w:rPr>
          <w:rFonts w:eastAsia="Times New Roman" w:cs="Times New Roman"/>
          <w:szCs w:val="28"/>
          <w:lang w:eastAsia="ru-RU"/>
        </w:rPr>
        <w:t>В журнале публиковались материалы «О новых открытиях в Египте и о влиянии их на изучение исторических древностей», «О походе новгородцев в Финляндию, упоминаемом в русских летописях», «О военном искусстве у римлян», «О просвещении исландцев», «О гробах в Герцеговине (</w:t>
      </w:r>
      <w:proofErr w:type="spellStart"/>
      <w:r w:rsidRPr="00170AE5">
        <w:rPr>
          <w:rFonts w:eastAsia="Times New Roman" w:cs="Times New Roman"/>
          <w:szCs w:val="28"/>
          <w:lang w:eastAsia="ru-RU"/>
        </w:rPr>
        <w:t>Захлумской</w:t>
      </w:r>
      <w:proofErr w:type="spellEnd"/>
      <w:r w:rsidRPr="00170AE5">
        <w:rPr>
          <w:rFonts w:eastAsia="Times New Roman" w:cs="Times New Roman"/>
          <w:szCs w:val="28"/>
          <w:lang w:eastAsia="ru-RU"/>
        </w:rPr>
        <w:t xml:space="preserve"> земле), между селом Чистым и </w:t>
      </w:r>
      <w:proofErr w:type="spellStart"/>
      <w:r w:rsidRPr="00170AE5">
        <w:rPr>
          <w:rFonts w:eastAsia="Times New Roman" w:cs="Times New Roman"/>
          <w:szCs w:val="28"/>
          <w:lang w:eastAsia="ru-RU"/>
        </w:rPr>
        <w:t>Ловричем</w:t>
      </w:r>
      <w:proofErr w:type="spellEnd"/>
      <w:r w:rsidRPr="00170AE5">
        <w:rPr>
          <w:rFonts w:eastAsia="Times New Roman" w:cs="Times New Roman"/>
          <w:szCs w:val="28"/>
          <w:lang w:eastAsia="ru-RU"/>
        </w:rPr>
        <w:t>», «О происхождении художеств» и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т.д.</w:t>
      </w:r>
      <w:proofErr w:type="gramEnd"/>
      <w:r w:rsidRPr="00170AE5">
        <w:rPr>
          <w:rFonts w:eastAsia="Times New Roman" w:cs="Times New Roman"/>
          <w:szCs w:val="28"/>
          <w:lang w:eastAsia="ru-RU"/>
        </w:rPr>
        <w:t xml:space="preserve"> Зачастую они были написаны сухим языком, с массой подробностей, представляющих интерес для узкого круга специалистов. </w:t>
      </w:r>
      <w:r w:rsidRPr="00170AE5">
        <w:rPr>
          <w:rFonts w:eastAsia="Times New Roman" w:cs="Times New Roman"/>
          <w:szCs w:val="28"/>
          <w:lang w:eastAsia="ru-RU"/>
        </w:rPr>
        <w:br/>
        <w:t>Однако наряду с этим в журнале публиковались материалы на историческую тематику, в которых авторами четко формулировались свободолюбивые идеалы. Так, статья Д.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Сахарова «О Людовике XIV» начинается с тезиса: «Деяния государей должно ценить по добру, содеянному ими для подданных», и потому «государь слабый, легковерный, недальновидный» осуждается за безнравственность правления, бессмысленность войн, за гонения на гугенотов, «изгнанных за противное мнение о том, чему нет общего правила суждения» [3</w:t>
      </w:r>
      <w:r w:rsidR="005C5463">
        <w:rPr>
          <w:rFonts w:eastAsia="Times New Roman" w:cs="Times New Roman"/>
          <w:szCs w:val="28"/>
          <w:lang w:eastAsia="ru-RU"/>
        </w:rPr>
        <w:t>: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26].</w:t>
      </w: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 xml:space="preserve">Столь же выразителен интерес авторов журнала к римской истории, в частности, к эпизодам, связанным с императорской властью и консульской формой правления в римском государстве. </w:t>
      </w:r>
      <w:proofErr w:type="gramStart"/>
      <w:r w:rsidRPr="00170AE5">
        <w:rPr>
          <w:rFonts w:eastAsia="Times New Roman" w:cs="Times New Roman"/>
          <w:szCs w:val="28"/>
          <w:lang w:eastAsia="ru-RU"/>
        </w:rPr>
        <w:t>Так, отрывок из римской истории Тита Ливия под названием «Смерть Лукреции» повествует о том, как добровольная смерть обесчещенной царем Тарквинием женщины вызвала гнев народа и Юний Брут «убедил римлян отнять у царя власть» [1</w:t>
      </w:r>
      <w:r w:rsidR="005C5463">
        <w:rPr>
          <w:rFonts w:eastAsia="Times New Roman" w:cs="Times New Roman"/>
          <w:szCs w:val="28"/>
          <w:lang w:eastAsia="ru-RU"/>
        </w:rPr>
        <w:t>: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174], а сцены из стихотворной трагедии Б.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Федорова «Юлий Цезарь» представляли мучительные размышления Брута, наперсника Цезаря, о невозможности соединения самовластия и свободы [4].</w:t>
      </w:r>
      <w:proofErr w:type="gramEnd"/>
    </w:p>
    <w:p w:rsidR="005307CB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Эту же мысль развивают «Европейские письма» В.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 xml:space="preserve">Кюхельбекера, в которых автор представил европейскую историю глазами вымышленного американца, живущего в XXV столетии. В письмах звучит свойственная Кюхельбекеру вера в возможность достижения «высшей степени </w:t>
      </w:r>
      <w:r w:rsidRPr="00170AE5">
        <w:rPr>
          <w:rFonts w:eastAsia="Times New Roman" w:cs="Times New Roman"/>
          <w:szCs w:val="28"/>
          <w:lang w:eastAsia="ru-RU"/>
        </w:rPr>
        <w:lastRenderedPageBreak/>
        <w:t>человечности», когда аксиомой будет для всех народов, всех правительств, всех людей, требования честности и добродетели. В «Европейских письмах» высказана мысль, что «торговля и изобилие, деятельность и просвещение требуют свободы и вянут под жесткою рукою тирании» [2</w:t>
      </w:r>
      <w:r w:rsidR="005C5463">
        <w:rPr>
          <w:rFonts w:eastAsia="Times New Roman" w:cs="Times New Roman"/>
          <w:szCs w:val="28"/>
          <w:lang w:eastAsia="ru-RU"/>
        </w:rPr>
        <w:t>: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 xml:space="preserve">272]. </w:t>
      </w:r>
    </w:p>
    <w:p w:rsidR="005307CB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 xml:space="preserve">Русская история представлена в журнале прежде всего темой Отечественной войны 1812 года. </w:t>
      </w:r>
      <w:proofErr w:type="gramStart"/>
      <w:r w:rsidRPr="00170AE5">
        <w:rPr>
          <w:rFonts w:eastAsia="Times New Roman" w:cs="Times New Roman"/>
          <w:szCs w:val="28"/>
          <w:lang w:eastAsia="ru-RU"/>
        </w:rPr>
        <w:t>Среди прозаических трудов «соревнователей», посвященных событиям этого времени, – «Походные записки русского офицера» И.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Лажечникова, «Бой при малом Ярославце» Ф.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Глинки и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др. Поэзия, как правило, создавала героический образ освободителей России и Европы от тирана (см., например, стихотворение «Честь» П.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Плетнева).</w:t>
      </w:r>
      <w:proofErr w:type="gramEnd"/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В целом, анализ «Трудов Вольного общества любителей российской словесности» убеждает в том, что «соревнователи просвещения и благотворения», обращаясь к отечественной и мировой истории, зачастую использовали факты из прошлого для трансляции идей свободы и гражданского мужества.</w:t>
      </w:r>
    </w:p>
    <w:p w:rsidR="008F022A" w:rsidRDefault="008F022A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70AE5" w:rsidRPr="00170AE5" w:rsidRDefault="00170AE5" w:rsidP="008F022A">
      <w:pPr>
        <w:spacing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Литература</w:t>
      </w: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1.</w:t>
      </w:r>
      <w:r w:rsidR="008F022A">
        <w:rPr>
          <w:rFonts w:eastAsia="Times New Roman" w:cs="Times New Roman"/>
          <w:szCs w:val="28"/>
          <w:lang w:eastAsia="ru-RU"/>
        </w:rPr>
        <w:t> </w:t>
      </w:r>
      <w:proofErr w:type="spellStart"/>
      <w:r w:rsidRPr="00170AE5">
        <w:rPr>
          <w:rFonts w:eastAsia="Times New Roman" w:cs="Times New Roman"/>
          <w:szCs w:val="28"/>
          <w:lang w:eastAsia="ru-RU"/>
        </w:rPr>
        <w:t>Белюстин</w:t>
      </w:r>
      <w:proofErr w:type="spellEnd"/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Н. Смерть Лукреции (отрывок из римской истории Тита Ливия, книги I) // Труды Вольного общества люб</w:t>
      </w:r>
      <w:r w:rsidR="008F022A">
        <w:rPr>
          <w:rFonts w:eastAsia="Times New Roman" w:cs="Times New Roman"/>
          <w:szCs w:val="28"/>
          <w:lang w:eastAsia="ru-RU"/>
        </w:rPr>
        <w:t>ителей российской словесности. 1820. Ч. IX.</w:t>
      </w:r>
      <w:r w:rsidRPr="00170AE5">
        <w:rPr>
          <w:rFonts w:eastAsia="Times New Roman" w:cs="Times New Roman"/>
          <w:szCs w:val="28"/>
          <w:lang w:eastAsia="ru-RU"/>
        </w:rPr>
        <w:t xml:space="preserve"> С. 165</w:t>
      </w:r>
      <w:r w:rsidR="008F022A">
        <w:rPr>
          <w:rFonts w:eastAsia="Times New Roman" w:cs="Times New Roman"/>
          <w:szCs w:val="28"/>
          <w:lang w:eastAsia="ru-RU"/>
        </w:rPr>
        <w:t>–</w:t>
      </w:r>
      <w:r w:rsidRPr="00170AE5">
        <w:rPr>
          <w:rFonts w:eastAsia="Times New Roman" w:cs="Times New Roman"/>
          <w:szCs w:val="28"/>
          <w:lang w:eastAsia="ru-RU"/>
        </w:rPr>
        <w:t>175.</w:t>
      </w: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2.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Кюхельбекер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В. Европейские письма, или Путешествие жителя Американских северных Штатов 25 столетия // Труды Вольного общества люб</w:t>
      </w:r>
      <w:r w:rsidR="008F022A">
        <w:rPr>
          <w:rFonts w:eastAsia="Times New Roman" w:cs="Times New Roman"/>
          <w:szCs w:val="28"/>
          <w:lang w:eastAsia="ru-RU"/>
        </w:rPr>
        <w:t>ителей российской словесности. 1820. Ч. IX.  С. 270–</w:t>
      </w:r>
      <w:r w:rsidRPr="00170AE5">
        <w:rPr>
          <w:rFonts w:eastAsia="Times New Roman" w:cs="Times New Roman"/>
          <w:szCs w:val="28"/>
          <w:lang w:eastAsia="ru-RU"/>
        </w:rPr>
        <w:t>285.</w:t>
      </w:r>
    </w:p>
    <w:p w:rsid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3.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Сахаров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Д. О Людовике XIV // Труды Вольного общества люби</w:t>
      </w:r>
      <w:r w:rsidR="008F022A">
        <w:rPr>
          <w:rFonts w:eastAsia="Times New Roman" w:cs="Times New Roman"/>
          <w:szCs w:val="28"/>
          <w:lang w:eastAsia="ru-RU"/>
        </w:rPr>
        <w:t xml:space="preserve">телей российской словесности. 1820. Ч. IX. </w:t>
      </w:r>
      <w:r w:rsidRPr="00170AE5">
        <w:rPr>
          <w:rFonts w:eastAsia="Times New Roman" w:cs="Times New Roman"/>
          <w:szCs w:val="28"/>
          <w:lang w:eastAsia="ru-RU"/>
        </w:rPr>
        <w:t>С. 19</w:t>
      </w:r>
      <w:r w:rsidR="008F022A">
        <w:rPr>
          <w:rFonts w:eastAsia="Times New Roman" w:cs="Times New Roman"/>
          <w:szCs w:val="28"/>
          <w:lang w:eastAsia="ru-RU"/>
        </w:rPr>
        <w:t>–</w:t>
      </w:r>
      <w:r w:rsidRPr="00170AE5">
        <w:rPr>
          <w:rFonts w:eastAsia="Times New Roman" w:cs="Times New Roman"/>
          <w:szCs w:val="28"/>
          <w:lang w:eastAsia="ru-RU"/>
        </w:rPr>
        <w:t>29.</w:t>
      </w:r>
    </w:p>
    <w:p w:rsidR="00170AE5" w:rsidRPr="00170AE5" w:rsidRDefault="00170AE5" w:rsidP="004A1A34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0AE5">
        <w:rPr>
          <w:rFonts w:eastAsia="Times New Roman" w:cs="Times New Roman"/>
          <w:szCs w:val="28"/>
          <w:lang w:eastAsia="ru-RU"/>
        </w:rPr>
        <w:t>4.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Федоров</w:t>
      </w:r>
      <w:r w:rsidR="008F022A">
        <w:rPr>
          <w:rFonts w:eastAsia="Times New Roman" w:cs="Times New Roman"/>
          <w:szCs w:val="28"/>
          <w:lang w:eastAsia="ru-RU"/>
        </w:rPr>
        <w:t> </w:t>
      </w:r>
      <w:r w:rsidRPr="00170AE5">
        <w:rPr>
          <w:rFonts w:eastAsia="Times New Roman" w:cs="Times New Roman"/>
          <w:szCs w:val="28"/>
          <w:lang w:eastAsia="ru-RU"/>
        </w:rPr>
        <w:t>Б. Сцены из трагедии «Юлий Цезарь» // Труды Вольного общества люби</w:t>
      </w:r>
      <w:r w:rsidR="008F022A">
        <w:rPr>
          <w:rFonts w:eastAsia="Times New Roman" w:cs="Times New Roman"/>
          <w:szCs w:val="28"/>
          <w:lang w:eastAsia="ru-RU"/>
        </w:rPr>
        <w:t>телей российской словесности. 1820. Ч. XI. С. 77–</w:t>
      </w:r>
      <w:r w:rsidRPr="00170AE5">
        <w:rPr>
          <w:rFonts w:eastAsia="Times New Roman" w:cs="Times New Roman"/>
          <w:szCs w:val="28"/>
          <w:lang w:eastAsia="ru-RU"/>
        </w:rPr>
        <w:t>84.</w:t>
      </w:r>
    </w:p>
    <w:sectPr w:rsidR="00170AE5" w:rsidRPr="00170AE5" w:rsidSect="009A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170AE5"/>
    <w:rsid w:val="00333027"/>
    <w:rsid w:val="003D402C"/>
    <w:rsid w:val="004559BB"/>
    <w:rsid w:val="004A1A34"/>
    <w:rsid w:val="005307CB"/>
    <w:rsid w:val="005C5463"/>
    <w:rsid w:val="00673112"/>
    <w:rsid w:val="007D1E12"/>
    <w:rsid w:val="008F022A"/>
    <w:rsid w:val="009700BB"/>
    <w:rsid w:val="009A2D83"/>
    <w:rsid w:val="009B60C7"/>
    <w:rsid w:val="00BB35B9"/>
    <w:rsid w:val="00D01E35"/>
    <w:rsid w:val="00D357ED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l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3</cp:revision>
  <dcterms:created xsi:type="dcterms:W3CDTF">2021-03-22T17:05:00Z</dcterms:created>
  <dcterms:modified xsi:type="dcterms:W3CDTF">2021-03-27T18:31:00Z</dcterms:modified>
</cp:coreProperties>
</file>