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E6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Вадимовна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Самородова</w:t>
      </w:r>
      <w:proofErr w:type="spellEnd"/>
    </w:p>
    <w:p w:rsidR="00A775E6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Московский государственный университет им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 В. Ломоносова</w:t>
      </w:r>
    </w:p>
    <w:p w:rsidR="00A775E6" w:rsidRPr="005A4465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hyperlink r:id="rId4" w:history="1">
        <w:r w:rsidRPr="00F3029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elina_samorodova@mail.ru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775E6" w:rsidRDefault="00A775E6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5E6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Современные подходы к регулированию Интернета</w:t>
      </w:r>
    </w:p>
    <w:p w:rsidR="00A775E6" w:rsidRDefault="00A775E6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5E6" w:rsidRPr="005A4465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десятилетий правительства разрабатывали механизмы регулирования информации в целях обеспечения национальной безопасности, однако сегодня представляется важным 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участие в процессе управления Интернетом не только 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государств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, но и неправительстве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нных, профессиональных и индустриальных организаций, 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и общества в целом.</w:t>
      </w:r>
    </w:p>
    <w:p w:rsidR="00A775E6" w:rsidRPr="005A4465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Ключевые слова: Интернет, 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медиарегулирование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медиаполитика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, информационная безопасность, 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сорегулирование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A775E6" w:rsidRPr="005A4465" w:rsidRDefault="00A775E6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75E6" w:rsidRPr="005A4465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65">
        <w:rPr>
          <w:rFonts w:ascii="Times New Roman" w:eastAsia="Times New Roman" w:hAnsi="Times New Roman" w:cs="Times New Roman"/>
          <w:sz w:val="28"/>
          <w:szCs w:val="28"/>
        </w:rPr>
        <w:t>Стремительное развитие цифровых технологий обусловило в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озникновение новых социальных вызовов и угроз, требующих реакции власти, вследствие чего произошла институционализация механизмов управления Интернетом. Государственное регулирование Интернета представляется сложным процессом по ряду причин. Во-первых, нео</w:t>
      </w:r>
      <w:r>
        <w:rPr>
          <w:rFonts w:ascii="Times New Roman" w:eastAsia="Times New Roman" w:hAnsi="Times New Roman" w:cs="Times New Roman"/>
          <w:sz w:val="28"/>
          <w:szCs w:val="28"/>
        </w:rPr>
        <w:t>бходимо отметить как минимум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два важных направления регулирования Интернета, требующих применения разных механизмов защиты: 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контентное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(информационное) и технологическое. Регулирование 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контента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стало первостепенным вопросом в общественных дебатах еще в 1</w:t>
      </w:r>
      <w:r>
        <w:rPr>
          <w:rFonts w:ascii="Times New Roman" w:eastAsia="Times New Roman" w:hAnsi="Times New Roman" w:cs="Times New Roman"/>
          <w:sz w:val="28"/>
          <w:szCs w:val="28"/>
        </w:rPr>
        <w:t>990-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 годы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, вызывая </w:t>
      </w:r>
      <w:proofErr w:type="gramStart"/>
      <w:r w:rsidRPr="005A4465">
        <w:rPr>
          <w:rFonts w:ascii="Times New Roman" w:eastAsia="Times New Roman" w:hAnsi="Times New Roman" w:cs="Times New Roman"/>
          <w:sz w:val="28"/>
          <w:szCs w:val="28"/>
        </w:rPr>
        <w:t>озабоченность</w:t>
      </w:r>
      <w:proofErr w:type="gram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как у правительств, так и у пользователей сети. Применение к Интернету мер традиционного законодательства о СМИ зачастую затруднительно из-за того, что далеко не все сайты являются официальными медиа, а авторы – журналистам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ru-RU"/>
        </w:rPr>
        <w:t>[4]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5E6" w:rsidRPr="005A4465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Во-вторых, несмотря на то, что многие страны принимают все больше новых законов, направленных на противодействие возможным </w:t>
      </w:r>
      <w:proofErr w:type="spellStart"/>
      <w:proofErr w:type="gramStart"/>
      <w:r w:rsidRPr="005A4465">
        <w:rPr>
          <w:rFonts w:ascii="Times New Roman" w:eastAsia="Times New Roman" w:hAnsi="Times New Roman" w:cs="Times New Roman"/>
          <w:sz w:val="28"/>
          <w:szCs w:val="28"/>
        </w:rPr>
        <w:t>интернет-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lastRenderedPageBreak/>
        <w:t>угрозам</w:t>
      </w:r>
      <w:proofErr w:type="spellEnd"/>
      <w:proofErr w:type="gram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безопасности граждан в сетевом пространстве, Интернет является глобальной системой, 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присутствующей во всех странах и одновременно не привязанной ни к одной из них. Децентрализация Интернета снижает способность государств контролировать содержание размещенной в сети информации, в связи с этим актуализируется вопрос применения принципов мно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госторонней дипломатии, являющейся важнейшим инструментом согласования международных </w:t>
      </w:r>
      <w:proofErr w:type="gramStart"/>
      <w:r w:rsidRPr="005A4465">
        <w:rPr>
          <w:rFonts w:ascii="Times New Roman" w:eastAsia="Times New Roman" w:hAnsi="Times New Roman" w:cs="Times New Roman"/>
          <w:sz w:val="28"/>
          <w:szCs w:val="28"/>
        </w:rPr>
        <w:t>решений</w:t>
      </w:r>
      <w:proofErr w:type="gram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как на глобальном, так и на отраслевом уровнях 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ru-RU"/>
        </w:rPr>
        <w:t>[3]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5E6" w:rsidRPr="005A4465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65">
        <w:rPr>
          <w:rFonts w:ascii="Times New Roman" w:eastAsia="Times New Roman" w:hAnsi="Times New Roman" w:cs="Times New Roman"/>
          <w:sz w:val="28"/>
          <w:szCs w:val="28"/>
        </w:rPr>
        <w:t>Междисциплинарная природа Интернета, охватывающая не только технологии и инновации, но и обществе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нно-политическую, экономическую и юридическую сферы, обусловила поиск моделей его регулирования на международном уровне 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ru-RU"/>
        </w:rPr>
        <w:t>[2]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. Современные исследователи считают, что сложное по своей природе регулирование Интернета должно быть ограничено теми о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бластями, где оно неизбежно. Немецкий ученый 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Ханс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Кляйнштойбер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отмечал, что Интернет предпочтительно рассматривать как пространство, которое работает автономно и без какого-либо вмешательства.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сли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регулирование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 этом 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представляется неизбежным,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 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оно дол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жно применяться в соответствии с принципом 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субсидиарности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, то есть в компетенцию вышестоящих уровней власти необходимо выносить только те вопросы, которые не могут быть решены на более низком уровне 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ru-RU"/>
        </w:rPr>
        <w:t>[5]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. При этом исследователи отмечают, чт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о лучшей моделью регулирования Интернета остается многосторонняя модель управления, поскольку она включает в себя координацию деятельности всех 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стейкхолдеров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5E6" w:rsidRPr="005A4465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Актуальной задачей в рамках данного процесса является определение четких ролей 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стейкхолдеров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</w:rPr>
        <w:t>, что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становится затруднительным в связи с транснациональными характеристиками Интернета. Сегодня применение принципов 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сорегулирования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как сочетания мер традиционного государственного и саморегулирования медиа становится наиболее оптимальным в контексте управле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ния Интернетом, так как позволяет реализовать демократические цели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[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ru-RU"/>
        </w:rPr>
        <w:t>1; 4]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465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75E6" w:rsidRPr="005A4465" w:rsidRDefault="005A4465" w:rsidP="005A4465">
      <w:pPr>
        <w:pStyle w:val="normal"/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A4465">
        <w:rPr>
          <w:rFonts w:ascii="Times New Roman" w:eastAsia="Times New Roman" w:hAnsi="Times New Roman" w:cs="Times New Roman"/>
          <w:sz w:val="28"/>
          <w:szCs w:val="28"/>
        </w:rPr>
        <w:t>Литература</w:t>
      </w:r>
    </w:p>
    <w:p w:rsidR="00A775E6" w:rsidRPr="005A4465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A446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Вартанова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Л. 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Медиаполитика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в контексте научных исследований СМИ: российские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зарубежные векторы //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Медиаскоп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2015. № 2.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URL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5" w:history="1">
        <w:r w:rsidRPr="00F3029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http://www.mediascope.ru/1744</w:t>
        </w:r>
      </w:hyperlink>
      <w:r w:rsidRPr="005A4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A775E6" w:rsidRPr="005A4465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46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</w:rPr>
        <w:t>Курбалийя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Й. Управление Интернетом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М., 2010.</w:t>
      </w:r>
    </w:p>
    <w:p w:rsidR="00A775E6" w:rsidRPr="005A4465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Олеандров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Л. Многосторонняя дипломатия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 Право и управление. XXI век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 xml:space="preserve"> 2013. № 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(27)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 С. 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5E6" w:rsidRPr="005A4465" w:rsidRDefault="005A4465" w:rsidP="005A4465">
      <w:pPr>
        <w:pStyle w:val="normal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4. 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Рихте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Г. Международные стандарты и зарубежная практика регулирования журналистики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5A4465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en-US"/>
        </w:rPr>
        <w:t>., 2011.</w:t>
      </w:r>
    </w:p>
    <w:p w:rsidR="00A775E6" w:rsidRPr="005A4465" w:rsidRDefault="005A4465" w:rsidP="005A4465">
      <w:pPr>
        <w:pStyle w:val="normal"/>
        <w:spacing w:line="360" w:lineRule="auto"/>
        <w:ind w:firstLine="720"/>
        <w:jc w:val="both"/>
        <w:rPr>
          <w:lang w:val="en-US"/>
        </w:rPr>
      </w:pPr>
      <w:r w:rsidRPr="005A4465">
        <w:rPr>
          <w:rFonts w:ascii="Times New Roman" w:eastAsia="Times New Roman" w:hAnsi="Times New Roman" w:cs="Times New Roman"/>
          <w:sz w:val="28"/>
          <w:szCs w:val="28"/>
          <w:lang w:val="en-US"/>
        </w:rPr>
        <w:t>5. </w:t>
      </w:r>
      <w:proofErr w:type="spellStart"/>
      <w:r w:rsidRPr="005A4465">
        <w:rPr>
          <w:rFonts w:ascii="Times New Roman" w:eastAsia="Times New Roman" w:hAnsi="Times New Roman" w:cs="Times New Roman"/>
          <w:sz w:val="28"/>
          <w:szCs w:val="28"/>
          <w:lang w:val="en-US"/>
        </w:rPr>
        <w:t>Kleinsteuber</w:t>
      </w:r>
      <w:proofErr w:type="spellEnd"/>
      <w:r w:rsidRPr="005A446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H. 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en-US"/>
        </w:rPr>
        <w:t>The Internet between Regulation and Governance /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en-US"/>
        </w:rPr>
        <w:t>/ Self-regulation, Co-regulation, State Regula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tion. 2004.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en-US"/>
        </w:rPr>
        <w:t>61–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en-US"/>
        </w:rPr>
        <w:t>75</w:t>
      </w:r>
      <w:r w:rsidRPr="005A4465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Pr="005A4465">
        <w:rPr>
          <w:lang w:val="en-US"/>
        </w:rPr>
        <w:t xml:space="preserve"> </w:t>
      </w:r>
    </w:p>
    <w:sectPr w:rsidR="00A775E6" w:rsidRPr="005A4465" w:rsidSect="005A4465">
      <w:pgSz w:w="11909" w:h="16834"/>
      <w:pgMar w:top="1134" w:right="850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75E6"/>
    <w:rsid w:val="005A4465"/>
    <w:rsid w:val="00A7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A775E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775E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775E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775E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775E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775E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775E6"/>
  </w:style>
  <w:style w:type="table" w:customStyle="1" w:styleId="TableNormal">
    <w:name w:val="Table Normal"/>
    <w:rsid w:val="00A775E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775E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775E6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5A4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iascope.ru/1744" TargetMode="External"/><Relationship Id="rId4" Type="http://schemas.openxmlformats.org/officeDocument/2006/relationships/hyperlink" Target="mailto:elina_samorodova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622</Words>
  <Characters>3550</Characters>
  <Application>Microsoft Office Word</Application>
  <DocSecurity>0</DocSecurity>
  <Lines>29</Lines>
  <Paragraphs>8</Paragraphs>
  <ScaleCrop>false</ScaleCrop>
  <Company>Grizli777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2</cp:revision>
  <dcterms:created xsi:type="dcterms:W3CDTF">2021-06-10T08:21:00Z</dcterms:created>
  <dcterms:modified xsi:type="dcterms:W3CDTF">2021-06-10T08:28:00Z</dcterms:modified>
</cp:coreProperties>
</file>