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925A8A">
        <w:rPr>
          <w:sz w:val="28"/>
          <w:szCs w:val="28"/>
        </w:rPr>
        <w:t xml:space="preserve">Дмитрий Петрович Гавра </w:t>
      </w:r>
    </w:p>
    <w:p w:rsidR="00ED398F" w:rsidRPr="00925A8A" w:rsidRDefault="003509DF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925A8A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ED398F" w:rsidRPr="00925A8A" w:rsidRDefault="00133F7B">
      <w:pPr>
        <w:spacing w:after="0" w:line="360" w:lineRule="auto"/>
        <w:ind w:firstLine="709"/>
        <w:rPr>
          <w:rFonts w:cs="Times New Roman"/>
          <w:sz w:val="28"/>
          <w:szCs w:val="28"/>
        </w:rPr>
      </w:pPr>
      <w:hyperlink r:id="rId7">
        <w:r w:rsidR="003509DF" w:rsidRPr="00925A8A">
          <w:rPr>
            <w:rStyle w:val="a3"/>
            <w:rFonts w:cs="Times New Roman"/>
            <w:color w:val="auto"/>
            <w:sz w:val="28"/>
            <w:szCs w:val="28"/>
          </w:rPr>
          <w:t>d.gavra@spbu.ru</w:t>
        </w:r>
      </w:hyperlink>
      <w:r w:rsidR="003509DF" w:rsidRPr="00925A8A">
        <w:rPr>
          <w:rFonts w:cs="Times New Roman"/>
          <w:sz w:val="28"/>
          <w:szCs w:val="28"/>
        </w:rPr>
        <w:t xml:space="preserve"> </w:t>
      </w:r>
    </w:p>
    <w:p w:rsidR="00ED398F" w:rsidRPr="00925A8A" w:rsidRDefault="00ED398F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A8A">
        <w:rPr>
          <w:rFonts w:eastAsia="Calibri"/>
          <w:b/>
          <w:sz w:val="28"/>
          <w:szCs w:val="28"/>
          <w:lang w:eastAsia="en-US"/>
        </w:rPr>
        <w:t>Медиатизация 2.0 в процессах политической мобилизации в цифровом социуме</w:t>
      </w:r>
    </w:p>
    <w:p w:rsidR="00133F7B" w:rsidRPr="002F130C" w:rsidRDefault="00133F7B" w:rsidP="00133F7B">
      <w:pPr>
        <w:pStyle w:val="a6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 w:rsidRPr="002F130C">
        <w:rPr>
          <w:color w:val="000000"/>
        </w:rPr>
        <w:t>Иссле</w:t>
      </w:r>
      <w:bookmarkStart w:id="0" w:name="_GoBack"/>
      <w:bookmarkEnd w:id="0"/>
      <w:r w:rsidRPr="002F130C">
        <w:rPr>
          <w:color w:val="000000"/>
        </w:rPr>
        <w:t>дование выполнено в рамках гранта РФФИ 20-011-00371 «Медиатизация локальных инцидентов как механизм мобилизации политического протеста в информационно-сетевом обществе»</w:t>
      </w:r>
      <w:r>
        <w:rPr>
          <w:color w:val="000000"/>
        </w:rPr>
        <w:t>.</w:t>
      </w:r>
    </w:p>
    <w:p w:rsidR="00ED398F" w:rsidRPr="00925A8A" w:rsidRDefault="00ED398F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A8A">
        <w:rPr>
          <w:sz w:val="28"/>
          <w:szCs w:val="28"/>
        </w:rPr>
        <w:t>В статье предложено понятие «медиатизации 2.0» как особого типа медиатизации, характерной для цифрового общества. Определены функции медиатизации в политической мобилизации протеста в сетевой среде.</w:t>
      </w: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A8A">
        <w:rPr>
          <w:bCs/>
          <w:sz w:val="28"/>
          <w:szCs w:val="28"/>
        </w:rPr>
        <w:t>Ключевые слова: медиатизация, медиатизация 2.0, политическая мобилизация, социальные сети, цифровое общество</w:t>
      </w:r>
      <w:r w:rsidRPr="00925A8A">
        <w:rPr>
          <w:sz w:val="28"/>
          <w:szCs w:val="28"/>
        </w:rPr>
        <w:t>.</w:t>
      </w:r>
    </w:p>
    <w:p w:rsidR="00ED398F" w:rsidRPr="00925A8A" w:rsidRDefault="00ED398F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A8A">
        <w:rPr>
          <w:sz w:val="28"/>
          <w:szCs w:val="28"/>
        </w:rPr>
        <w:t xml:space="preserve">В современном социуме на цифровом этапе его социальной и технологической динамики возникают новые траектории субъектных отношений, которые обладают способностью трансформироваться как в конструктивную, так и в протестную политическую повестку. Для аудиторий «быстрого мира» можно констатировать интерференцию влияния на политическую активизацию коммуникационных потоков, формируемых как официальными каналами масс-медиа, так и новыми неофициальными сетевыми ресурсами. Возрастающее количество и разнообразие социальных действий коммуникативных </w:t>
      </w:r>
      <w:proofErr w:type="spellStart"/>
      <w:r w:rsidRPr="00925A8A">
        <w:rPr>
          <w:sz w:val="28"/>
          <w:szCs w:val="28"/>
        </w:rPr>
        <w:t>акторов</w:t>
      </w:r>
      <w:proofErr w:type="spellEnd"/>
      <w:r w:rsidRPr="00925A8A">
        <w:rPr>
          <w:sz w:val="28"/>
          <w:szCs w:val="28"/>
        </w:rPr>
        <w:t xml:space="preserve"> в сетевых медиа порождают новые инструменты и технологии политической мобилизации, вынуждающие традиционных </w:t>
      </w:r>
      <w:proofErr w:type="spellStart"/>
      <w:r w:rsidRPr="00925A8A">
        <w:rPr>
          <w:sz w:val="28"/>
          <w:szCs w:val="28"/>
        </w:rPr>
        <w:t>акторов</w:t>
      </w:r>
      <w:proofErr w:type="spellEnd"/>
      <w:r w:rsidRPr="00925A8A">
        <w:rPr>
          <w:sz w:val="28"/>
          <w:szCs w:val="28"/>
        </w:rPr>
        <w:t xml:space="preserve"> приспосабливаться, адаптироваться к новой </w:t>
      </w:r>
      <w:proofErr w:type="spellStart"/>
      <w:r w:rsidRPr="00925A8A">
        <w:rPr>
          <w:sz w:val="28"/>
          <w:szCs w:val="28"/>
        </w:rPr>
        <w:t>медиалогике</w:t>
      </w:r>
      <w:proofErr w:type="spellEnd"/>
      <w:r w:rsidRPr="00925A8A">
        <w:rPr>
          <w:sz w:val="28"/>
          <w:szCs w:val="28"/>
        </w:rPr>
        <w:t xml:space="preserve"> и возникающим </w:t>
      </w:r>
      <w:proofErr w:type="spellStart"/>
      <w:r w:rsidRPr="00925A8A">
        <w:rPr>
          <w:sz w:val="28"/>
          <w:szCs w:val="28"/>
        </w:rPr>
        <w:t>медийным</w:t>
      </w:r>
      <w:proofErr w:type="spellEnd"/>
      <w:r w:rsidRPr="00925A8A">
        <w:rPr>
          <w:sz w:val="28"/>
          <w:szCs w:val="28"/>
        </w:rPr>
        <w:t xml:space="preserve"> форматам.</w:t>
      </w: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A8A">
        <w:rPr>
          <w:sz w:val="28"/>
          <w:szCs w:val="28"/>
        </w:rPr>
        <w:t xml:space="preserve">Интенсивная сетевая политическая коммуникация со всем арсеналом </w:t>
      </w:r>
      <w:proofErr w:type="spellStart"/>
      <w:r w:rsidRPr="00925A8A">
        <w:rPr>
          <w:sz w:val="28"/>
          <w:szCs w:val="28"/>
        </w:rPr>
        <w:t>кастомизированных</w:t>
      </w:r>
      <w:proofErr w:type="spellEnd"/>
      <w:r w:rsidRPr="00925A8A">
        <w:rPr>
          <w:sz w:val="28"/>
          <w:szCs w:val="28"/>
        </w:rPr>
        <w:t xml:space="preserve"> вовлекающих технологий меняет привычные для </w:t>
      </w:r>
      <w:r w:rsidRPr="00925A8A">
        <w:rPr>
          <w:sz w:val="28"/>
          <w:szCs w:val="28"/>
        </w:rPr>
        <w:lastRenderedPageBreak/>
        <w:t>институтов власти организационные и коммуникативные контуры реагирования на оппоз</w:t>
      </w:r>
      <w:r>
        <w:rPr>
          <w:sz w:val="28"/>
          <w:szCs w:val="28"/>
        </w:rPr>
        <w:t>иционную протестную мобилизацию,</w:t>
      </w:r>
      <w:r w:rsidRPr="00925A8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25A8A">
        <w:rPr>
          <w:sz w:val="28"/>
          <w:szCs w:val="28"/>
        </w:rPr>
        <w:t xml:space="preserve">собенно в условиях сверхбыстрой динамики нарастания протеста. Для судебной или внесудебной блокировки ресурсов и изоляции агентов протестной мобилизации в условиях децентрализованного распределенного управления локальными полевыми организаторами может просто не хватить времени и исходной информации. Особенно в условиях, когда в качестве повода для организации протеста используется локальный инцидент с дальнейшей его сетевой медиатизацией. В этой связи мы полагаем уместным говорить о некотором новом типе медиатизации инцидента с потенциалом протестной мобилизации в периоды повышенной социальной напряженности. Обозначим его как медиатизацию 2.0 с потенциалом перехода далее в формат </w:t>
      </w:r>
      <w:proofErr w:type="spellStart"/>
      <w:r w:rsidRPr="00925A8A">
        <w:rPr>
          <w:sz w:val="28"/>
          <w:szCs w:val="28"/>
        </w:rPr>
        <w:t>трансакционной</w:t>
      </w:r>
      <w:proofErr w:type="spellEnd"/>
      <w:r w:rsidRPr="00925A8A">
        <w:rPr>
          <w:sz w:val="28"/>
          <w:szCs w:val="28"/>
        </w:rPr>
        <w:t xml:space="preserve"> медиатизации.</w:t>
      </w: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A8A">
        <w:rPr>
          <w:sz w:val="28"/>
          <w:szCs w:val="28"/>
        </w:rPr>
        <w:t xml:space="preserve">Для </w:t>
      </w:r>
      <w:proofErr w:type="spellStart"/>
      <w:r w:rsidRPr="00925A8A">
        <w:rPr>
          <w:sz w:val="28"/>
          <w:szCs w:val="28"/>
        </w:rPr>
        <w:t>операционализации</w:t>
      </w:r>
      <w:proofErr w:type="spellEnd"/>
      <w:r w:rsidRPr="00925A8A">
        <w:rPr>
          <w:sz w:val="28"/>
          <w:szCs w:val="28"/>
        </w:rPr>
        <w:t xml:space="preserve"> политико-коммуникационных процессов в информационно-сетевом обществе мы полагаем необходимым </w:t>
      </w:r>
      <w:r>
        <w:rPr>
          <w:sz w:val="28"/>
          <w:szCs w:val="28"/>
        </w:rPr>
        <w:t>ввести понятие медиатизации 2.0</w:t>
      </w:r>
      <w:r w:rsidRPr="00925A8A">
        <w:rPr>
          <w:sz w:val="28"/>
          <w:szCs w:val="28"/>
        </w:rPr>
        <w:t xml:space="preserve"> как переходного формата от традиционной интерактивной к </w:t>
      </w:r>
      <w:proofErr w:type="spellStart"/>
      <w:r w:rsidRPr="00925A8A">
        <w:rPr>
          <w:sz w:val="28"/>
          <w:szCs w:val="28"/>
        </w:rPr>
        <w:t>трансакционной</w:t>
      </w:r>
      <w:proofErr w:type="spellEnd"/>
      <w:r w:rsidRPr="00925A8A">
        <w:rPr>
          <w:sz w:val="28"/>
          <w:szCs w:val="28"/>
        </w:rPr>
        <w:t xml:space="preserve"> медиатизации. Автор рассматривает медиатизацию 2.0 как медиатизацию, построенную на логике веб-волны, ретрансляторами которой в сетевом обществе выступают трафик-монополисты и обладатели сетевых коммуникативных капиталов [3]. Такая медиатизация локального информационного повода, некоторого инцидента за счет синергии коммуникативных активностей распределенных игроков при наличии среди этих игроков прямых сетевых </w:t>
      </w:r>
      <w:proofErr w:type="spellStart"/>
      <w:r w:rsidRPr="00925A8A">
        <w:rPr>
          <w:sz w:val="28"/>
          <w:szCs w:val="28"/>
        </w:rPr>
        <w:t>акторов</w:t>
      </w:r>
      <w:proofErr w:type="spellEnd"/>
      <w:r w:rsidRPr="00925A8A">
        <w:rPr>
          <w:sz w:val="28"/>
          <w:szCs w:val="28"/>
        </w:rPr>
        <w:t>, сознательно расширяющих ареал вовлеченности удаленных субъектов, способна резко интенсифицировать процессы политической, в т.ч. протестной мобилизации.</w:t>
      </w: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A8A">
        <w:rPr>
          <w:sz w:val="28"/>
          <w:szCs w:val="28"/>
        </w:rPr>
        <w:t>Теоретико-методологическая база, в рамках которой реализуется наш подход, исследования феномена медиатизации 2.0, находится на стыке научных разработок зарубежных и отечественных ученых С.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Хьяварда</w:t>
      </w:r>
      <w:proofErr w:type="spellEnd"/>
      <w:r>
        <w:rPr>
          <w:sz w:val="28"/>
          <w:szCs w:val="28"/>
        </w:rPr>
        <w:t xml:space="preserve"> [5], Д. </w:t>
      </w:r>
      <w:proofErr w:type="spellStart"/>
      <w:r>
        <w:rPr>
          <w:sz w:val="28"/>
          <w:szCs w:val="28"/>
        </w:rPr>
        <w:t>Дикона</w:t>
      </w:r>
      <w:proofErr w:type="spellEnd"/>
      <w:r>
        <w:rPr>
          <w:sz w:val="28"/>
          <w:szCs w:val="28"/>
        </w:rPr>
        <w:t xml:space="preserve"> и Д. </w:t>
      </w:r>
      <w:proofErr w:type="spellStart"/>
      <w:r w:rsidRPr="00925A8A">
        <w:rPr>
          <w:sz w:val="28"/>
          <w:szCs w:val="28"/>
        </w:rPr>
        <w:t>Стэньера</w:t>
      </w:r>
      <w:proofErr w:type="spellEnd"/>
      <w:r w:rsidRPr="00925A8A">
        <w:rPr>
          <w:sz w:val="28"/>
          <w:szCs w:val="28"/>
        </w:rPr>
        <w:t xml:space="preserve"> [2], А.</w:t>
      </w:r>
      <w:r>
        <w:rPr>
          <w:sz w:val="28"/>
          <w:szCs w:val="28"/>
        </w:rPr>
        <w:t> </w:t>
      </w:r>
      <w:proofErr w:type="spellStart"/>
      <w:r w:rsidRPr="00925A8A">
        <w:rPr>
          <w:sz w:val="28"/>
          <w:szCs w:val="28"/>
        </w:rPr>
        <w:t>Гуреевой</w:t>
      </w:r>
      <w:proofErr w:type="spellEnd"/>
      <w:r w:rsidRPr="00925A8A">
        <w:rPr>
          <w:sz w:val="28"/>
          <w:szCs w:val="28"/>
        </w:rPr>
        <w:t xml:space="preserve"> [1] и др.</w:t>
      </w: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A8A">
        <w:rPr>
          <w:sz w:val="28"/>
          <w:szCs w:val="28"/>
        </w:rPr>
        <w:lastRenderedPageBreak/>
        <w:t>Обращаясь к ключевой категории исследования –</w:t>
      </w:r>
      <w:r>
        <w:rPr>
          <w:sz w:val="28"/>
          <w:szCs w:val="28"/>
        </w:rPr>
        <w:t xml:space="preserve"> медиатизации –</w:t>
      </w:r>
      <w:r w:rsidRPr="00925A8A">
        <w:rPr>
          <w:sz w:val="28"/>
          <w:szCs w:val="28"/>
        </w:rPr>
        <w:t xml:space="preserve"> отметим, что мы трактуем ее в русле конструктивистского подхода А</w:t>
      </w:r>
      <w:r>
        <w:rPr>
          <w:sz w:val="28"/>
          <w:szCs w:val="28"/>
        </w:rPr>
        <w:t>. </w:t>
      </w:r>
      <w:proofErr w:type="spellStart"/>
      <w:r w:rsidRPr="00925A8A">
        <w:rPr>
          <w:sz w:val="28"/>
          <w:szCs w:val="28"/>
        </w:rPr>
        <w:t>Хепп</w:t>
      </w:r>
      <w:proofErr w:type="spellEnd"/>
      <w:r w:rsidRPr="00925A8A">
        <w:rPr>
          <w:sz w:val="28"/>
          <w:szCs w:val="28"/>
        </w:rPr>
        <w:t xml:space="preserve"> [4] с точки зрения повседневных опосредованных коммуникаций, когда коммуникационная среда и цифровые технологии меняют характер коммуникации социальности на разных уровнях социальной иерархии. Этап медиатизации первых десятилетий XXI века, который обусловлен широким распространением социальных медиа, мы обозначаем как медиатизацию 2.0.</w:t>
      </w: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Медиатизация 2.0</w:t>
      </w:r>
      <w:r w:rsidRPr="00925A8A">
        <w:rPr>
          <w:sz w:val="28"/>
          <w:szCs w:val="28"/>
        </w:rPr>
        <w:t xml:space="preserve"> порождает новые форматы экспликации традиционных </w:t>
      </w:r>
      <w:proofErr w:type="spellStart"/>
      <w:r w:rsidRPr="00925A8A">
        <w:rPr>
          <w:sz w:val="28"/>
          <w:szCs w:val="28"/>
        </w:rPr>
        <w:t>медиаэффектов</w:t>
      </w:r>
      <w:proofErr w:type="spellEnd"/>
      <w:r w:rsidRPr="00925A8A">
        <w:rPr>
          <w:sz w:val="28"/>
          <w:szCs w:val="28"/>
        </w:rPr>
        <w:t xml:space="preserve">, влияния </w:t>
      </w:r>
      <w:proofErr w:type="spellStart"/>
      <w:r w:rsidRPr="00925A8A">
        <w:rPr>
          <w:sz w:val="28"/>
          <w:szCs w:val="28"/>
        </w:rPr>
        <w:t>медиасреды</w:t>
      </w:r>
      <w:proofErr w:type="spellEnd"/>
      <w:r w:rsidRPr="00925A8A">
        <w:rPr>
          <w:sz w:val="28"/>
          <w:szCs w:val="28"/>
        </w:rPr>
        <w:t xml:space="preserve"> и изменившихся в горизонтальном измерении сетевых </w:t>
      </w:r>
      <w:proofErr w:type="spellStart"/>
      <w:r w:rsidRPr="00925A8A">
        <w:rPr>
          <w:sz w:val="28"/>
          <w:szCs w:val="28"/>
        </w:rPr>
        <w:t>медиаагентов</w:t>
      </w:r>
      <w:proofErr w:type="spellEnd"/>
      <w:r w:rsidRPr="00925A8A">
        <w:rPr>
          <w:sz w:val="28"/>
          <w:szCs w:val="28"/>
        </w:rPr>
        <w:t xml:space="preserve">, их воздействие на политическое поведение и функционирование социальных систем в </w:t>
      </w:r>
      <w:r>
        <w:rPr>
          <w:sz w:val="28"/>
          <w:szCs w:val="28"/>
        </w:rPr>
        <w:t>целом. Процесс медиатизации 2.0</w:t>
      </w:r>
      <w:r w:rsidRPr="00925A8A">
        <w:rPr>
          <w:sz w:val="28"/>
          <w:szCs w:val="28"/>
        </w:rPr>
        <w:t xml:space="preserve"> сопряжен с производством политического </w:t>
      </w:r>
      <w:proofErr w:type="spellStart"/>
      <w:r w:rsidRPr="00925A8A">
        <w:rPr>
          <w:sz w:val="28"/>
          <w:szCs w:val="28"/>
        </w:rPr>
        <w:t>медиадискурса</w:t>
      </w:r>
      <w:proofErr w:type="spellEnd"/>
      <w:r w:rsidRPr="00925A8A">
        <w:rPr>
          <w:sz w:val="28"/>
          <w:szCs w:val="28"/>
        </w:rPr>
        <w:t xml:space="preserve"> информационно-сетевого общества, который представляет собой поле конкурирующих и даже </w:t>
      </w:r>
      <w:proofErr w:type="spellStart"/>
      <w:r w:rsidRPr="00925A8A">
        <w:rPr>
          <w:sz w:val="28"/>
          <w:szCs w:val="28"/>
        </w:rPr>
        <w:t>агональных</w:t>
      </w:r>
      <w:proofErr w:type="spellEnd"/>
      <w:r w:rsidRPr="00925A8A">
        <w:rPr>
          <w:sz w:val="28"/>
          <w:szCs w:val="28"/>
        </w:rPr>
        <w:t xml:space="preserve"> парциальных сетевых и институциональных вертикально интегрированных дискурсов. Эти горизонтально и вертикально организованные дискурсы </w:t>
      </w:r>
      <w:r>
        <w:rPr>
          <w:sz w:val="28"/>
          <w:szCs w:val="28"/>
        </w:rPr>
        <w:t>в</w:t>
      </w:r>
      <w:r w:rsidRPr="00925A8A">
        <w:rPr>
          <w:sz w:val="28"/>
          <w:szCs w:val="28"/>
        </w:rPr>
        <w:t xml:space="preserve">ступают в конкуренцию, борьбу и даже войну за формирование смыслов в политическом пространстве, фрагментированном в сети на более или менее закрытые пузыри ценностно гомогенных сообществ. </w:t>
      </w:r>
    </w:p>
    <w:p w:rsidR="003509DF" w:rsidRDefault="003509DF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25A8A">
        <w:rPr>
          <w:sz w:val="28"/>
          <w:szCs w:val="28"/>
        </w:rPr>
        <w:t>Литература</w:t>
      </w: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25A8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Гуреева</w:t>
      </w:r>
      <w:proofErr w:type="spellEnd"/>
      <w:r>
        <w:rPr>
          <w:sz w:val="28"/>
          <w:szCs w:val="28"/>
        </w:rPr>
        <w:t> А. </w:t>
      </w:r>
      <w:r w:rsidRPr="00925A8A">
        <w:rPr>
          <w:sz w:val="28"/>
          <w:szCs w:val="28"/>
        </w:rPr>
        <w:t xml:space="preserve">Н. Теоретическое понимание медиатизации в условиях цифровой среды // Вестник </w:t>
      </w:r>
      <w:r>
        <w:rPr>
          <w:sz w:val="28"/>
          <w:szCs w:val="28"/>
        </w:rPr>
        <w:t>МГУ</w:t>
      </w:r>
      <w:r w:rsidRPr="00925A8A">
        <w:rPr>
          <w:sz w:val="28"/>
          <w:szCs w:val="28"/>
        </w:rPr>
        <w:t>. Серия</w:t>
      </w:r>
      <w:r w:rsidRPr="00925A8A">
        <w:rPr>
          <w:sz w:val="28"/>
          <w:szCs w:val="28"/>
          <w:lang w:val="en-US"/>
        </w:rPr>
        <w:t xml:space="preserve"> 10</w:t>
      </w:r>
      <w:r w:rsidRPr="003509DF">
        <w:rPr>
          <w:sz w:val="28"/>
          <w:szCs w:val="28"/>
          <w:lang w:val="en-US"/>
        </w:rPr>
        <w:t>.</w:t>
      </w:r>
      <w:r w:rsidRPr="00925A8A">
        <w:rPr>
          <w:sz w:val="28"/>
          <w:szCs w:val="28"/>
          <w:lang w:val="en-US"/>
        </w:rPr>
        <w:t xml:space="preserve"> </w:t>
      </w:r>
      <w:r w:rsidRPr="00925A8A">
        <w:rPr>
          <w:sz w:val="28"/>
          <w:szCs w:val="28"/>
        </w:rPr>
        <w:t>Журналистика</w:t>
      </w:r>
      <w:r w:rsidRPr="00925A8A">
        <w:rPr>
          <w:sz w:val="28"/>
          <w:szCs w:val="28"/>
          <w:lang w:val="en-US"/>
        </w:rPr>
        <w:t xml:space="preserve">. </w:t>
      </w:r>
      <w:r w:rsidRPr="00925A8A"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., 2016</w:t>
      </w:r>
      <w:r w:rsidRPr="003509DF">
        <w:rPr>
          <w:sz w:val="28"/>
          <w:szCs w:val="28"/>
          <w:lang w:val="en-US"/>
        </w:rPr>
        <w:t>. № 6.</w:t>
      </w:r>
      <w:r w:rsidRPr="00925A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Pr="00925A8A">
        <w:rPr>
          <w:sz w:val="28"/>
          <w:szCs w:val="28"/>
          <w:lang w:val="en-US"/>
        </w:rPr>
        <w:t xml:space="preserve">. </w:t>
      </w:r>
      <w:r w:rsidRPr="00133F7B">
        <w:rPr>
          <w:sz w:val="28"/>
          <w:szCs w:val="28"/>
          <w:lang w:val="en-US"/>
        </w:rPr>
        <w:t>192–208.</w:t>
      </w: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Pr="003509DF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Deacon</w:t>
      </w:r>
      <w:r w:rsidRPr="003509DF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D., </w:t>
      </w:r>
      <w:proofErr w:type="spellStart"/>
      <w:r>
        <w:rPr>
          <w:sz w:val="28"/>
          <w:szCs w:val="28"/>
          <w:lang w:val="en-US"/>
        </w:rPr>
        <w:t>Stanyer</w:t>
      </w:r>
      <w:proofErr w:type="spellEnd"/>
      <w:r w:rsidRPr="003509DF">
        <w:rPr>
          <w:sz w:val="28"/>
          <w:szCs w:val="28"/>
          <w:lang w:val="en-US"/>
        </w:rPr>
        <w:t> </w:t>
      </w:r>
      <w:r w:rsidRPr="00925A8A">
        <w:rPr>
          <w:sz w:val="28"/>
          <w:szCs w:val="28"/>
          <w:lang w:val="en-US"/>
        </w:rPr>
        <w:t xml:space="preserve">J. </w:t>
      </w:r>
      <w:proofErr w:type="spellStart"/>
      <w:r w:rsidRPr="00925A8A">
        <w:rPr>
          <w:sz w:val="28"/>
          <w:szCs w:val="28"/>
          <w:lang w:val="en-US"/>
        </w:rPr>
        <w:t>Mediatization</w:t>
      </w:r>
      <w:proofErr w:type="spellEnd"/>
      <w:r w:rsidRPr="00925A8A">
        <w:rPr>
          <w:sz w:val="28"/>
          <w:szCs w:val="28"/>
          <w:lang w:val="en-US"/>
        </w:rPr>
        <w:t>: key concept or conceptual bandwagon // Media, Culture &amp; Society. 201</w:t>
      </w:r>
      <w:r>
        <w:rPr>
          <w:sz w:val="28"/>
          <w:szCs w:val="28"/>
          <w:lang w:val="en-US"/>
        </w:rPr>
        <w:t>4. Vol. 36. No</w:t>
      </w:r>
      <w:r w:rsidRPr="003509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7. P. 1032–1044</w:t>
      </w:r>
      <w:r w:rsidRPr="00925A8A">
        <w:rPr>
          <w:sz w:val="28"/>
          <w:szCs w:val="28"/>
          <w:lang w:val="en-US"/>
        </w:rPr>
        <w:t>.</w:t>
      </w: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25A8A">
        <w:rPr>
          <w:sz w:val="28"/>
          <w:szCs w:val="28"/>
          <w:lang w:val="en-US"/>
        </w:rPr>
        <w:t>3.</w:t>
      </w:r>
      <w:r w:rsidRPr="003509DF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en-US"/>
        </w:rPr>
        <w:t>Gavra</w:t>
      </w:r>
      <w:proofErr w:type="spellEnd"/>
      <w:r w:rsidRPr="003509DF">
        <w:rPr>
          <w:sz w:val="28"/>
          <w:szCs w:val="28"/>
          <w:lang w:val="en-US"/>
        </w:rPr>
        <w:t> </w:t>
      </w:r>
      <w:r w:rsidRPr="00925A8A">
        <w:rPr>
          <w:sz w:val="28"/>
          <w:szCs w:val="28"/>
          <w:lang w:val="en-US"/>
        </w:rPr>
        <w:t>D.</w:t>
      </w:r>
      <w:r w:rsidRPr="003509DF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P., </w:t>
      </w:r>
      <w:proofErr w:type="spellStart"/>
      <w:r>
        <w:rPr>
          <w:sz w:val="28"/>
          <w:szCs w:val="28"/>
          <w:lang w:val="en-US"/>
        </w:rPr>
        <w:t>Dekalov</w:t>
      </w:r>
      <w:proofErr w:type="spellEnd"/>
      <w:r w:rsidRPr="003509DF">
        <w:rPr>
          <w:sz w:val="28"/>
          <w:szCs w:val="28"/>
          <w:lang w:val="en-US"/>
        </w:rPr>
        <w:t> </w:t>
      </w:r>
      <w:r w:rsidRPr="00925A8A">
        <w:rPr>
          <w:sz w:val="28"/>
          <w:szCs w:val="28"/>
          <w:lang w:val="en-US"/>
        </w:rPr>
        <w:t>V.</w:t>
      </w:r>
      <w:r w:rsidRPr="003509DF">
        <w:rPr>
          <w:sz w:val="28"/>
          <w:szCs w:val="28"/>
          <w:lang w:val="en-US"/>
        </w:rPr>
        <w:t> </w:t>
      </w:r>
      <w:r w:rsidRPr="00925A8A">
        <w:rPr>
          <w:sz w:val="28"/>
          <w:szCs w:val="28"/>
          <w:lang w:val="en-US"/>
        </w:rPr>
        <w:t>V. Networked Society and its New Power Actors: Critical Analysis of Hardware, Software, and Communicative Level of Digital Space</w:t>
      </w:r>
      <w:r w:rsidRPr="003509DF">
        <w:rPr>
          <w:sz w:val="28"/>
          <w:szCs w:val="28"/>
          <w:lang w:val="en-US"/>
        </w:rPr>
        <w:t xml:space="preserve"> //</w:t>
      </w:r>
      <w:r w:rsidRPr="00925A8A">
        <w:rPr>
          <w:sz w:val="28"/>
          <w:szCs w:val="28"/>
          <w:lang w:val="en-US"/>
        </w:rPr>
        <w:t xml:space="preserve"> Proceedings of the 2019 IEEE Communication Strategies in Digital Society Workshop. COMSDS 2019.</w:t>
      </w:r>
    </w:p>
    <w:p w:rsidR="00ED398F" w:rsidRPr="00925A8A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925A8A">
        <w:rPr>
          <w:sz w:val="28"/>
          <w:szCs w:val="28"/>
          <w:lang w:val="en-US"/>
        </w:rPr>
        <w:lastRenderedPageBreak/>
        <w:t>4.</w:t>
      </w:r>
      <w:r w:rsidRPr="003509DF">
        <w:rPr>
          <w:sz w:val="28"/>
          <w:szCs w:val="28"/>
          <w:lang w:val="en-US"/>
        </w:rPr>
        <w:t> </w:t>
      </w:r>
      <w:proofErr w:type="spellStart"/>
      <w:r w:rsidRPr="00925A8A">
        <w:rPr>
          <w:sz w:val="28"/>
          <w:szCs w:val="28"/>
          <w:lang w:val="en-US"/>
        </w:rPr>
        <w:t>Hepp</w:t>
      </w:r>
      <w:proofErr w:type="spellEnd"/>
      <w:r w:rsidRPr="003509DF">
        <w:rPr>
          <w:sz w:val="28"/>
          <w:szCs w:val="28"/>
          <w:lang w:val="en-US"/>
        </w:rPr>
        <w:t> </w:t>
      </w:r>
      <w:r w:rsidRPr="00925A8A">
        <w:rPr>
          <w:sz w:val="28"/>
          <w:szCs w:val="28"/>
          <w:lang w:val="en-US"/>
        </w:rPr>
        <w:t xml:space="preserve">A. The communicative figurations of mediatized worlds: </w:t>
      </w:r>
      <w:proofErr w:type="spellStart"/>
      <w:r w:rsidRPr="00925A8A">
        <w:rPr>
          <w:sz w:val="28"/>
          <w:szCs w:val="28"/>
          <w:lang w:val="en-US"/>
        </w:rPr>
        <w:t>Mediatization</w:t>
      </w:r>
      <w:proofErr w:type="spellEnd"/>
      <w:r w:rsidRPr="00925A8A">
        <w:rPr>
          <w:sz w:val="28"/>
          <w:szCs w:val="28"/>
          <w:lang w:val="en-US"/>
        </w:rPr>
        <w:t xml:space="preserve"> research in times of the “mediation of everything” // European Journal of Communication. 2013</w:t>
      </w:r>
      <w:r w:rsidRPr="003509DF">
        <w:rPr>
          <w:sz w:val="28"/>
          <w:szCs w:val="28"/>
          <w:lang w:val="en-US"/>
        </w:rPr>
        <w:t>.</w:t>
      </w:r>
      <w:r w:rsidRPr="00925A8A">
        <w:rPr>
          <w:sz w:val="28"/>
          <w:szCs w:val="28"/>
          <w:lang w:val="en-US"/>
        </w:rPr>
        <w:t xml:space="preserve"> Vol. 28 No 6</w:t>
      </w:r>
      <w:r w:rsidRPr="003509DF">
        <w:rPr>
          <w:sz w:val="28"/>
          <w:szCs w:val="28"/>
          <w:lang w:val="en-US"/>
        </w:rPr>
        <w:t>.</w:t>
      </w:r>
      <w:r w:rsidRPr="00925A8A">
        <w:rPr>
          <w:sz w:val="28"/>
          <w:szCs w:val="28"/>
          <w:lang w:val="en-US"/>
        </w:rPr>
        <w:t xml:space="preserve"> P. 615</w:t>
      </w:r>
      <w:r w:rsidRPr="003509DF">
        <w:rPr>
          <w:sz w:val="28"/>
          <w:szCs w:val="28"/>
          <w:lang w:val="en-US"/>
        </w:rPr>
        <w:t>–</w:t>
      </w:r>
      <w:r w:rsidRPr="00925A8A">
        <w:rPr>
          <w:sz w:val="28"/>
          <w:szCs w:val="28"/>
          <w:lang w:val="en-US"/>
        </w:rPr>
        <w:t>629.</w:t>
      </w:r>
    </w:p>
    <w:p w:rsidR="00ED398F" w:rsidRPr="003509DF" w:rsidRDefault="003509DF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Pr="003509DF">
        <w:rPr>
          <w:sz w:val="28"/>
          <w:szCs w:val="28"/>
          <w:lang w:val="en-US"/>
        </w:rPr>
        <w:t> </w:t>
      </w:r>
      <w:proofErr w:type="spellStart"/>
      <w:r w:rsidRPr="00925A8A">
        <w:rPr>
          <w:sz w:val="28"/>
          <w:szCs w:val="28"/>
          <w:lang w:val="en-US"/>
        </w:rPr>
        <w:t>Hjarvard</w:t>
      </w:r>
      <w:proofErr w:type="spellEnd"/>
      <w:r w:rsidRPr="00925A8A">
        <w:rPr>
          <w:sz w:val="28"/>
          <w:szCs w:val="28"/>
          <w:lang w:val="en-US"/>
        </w:rPr>
        <w:t xml:space="preserve"> S. The </w:t>
      </w:r>
      <w:proofErr w:type="spellStart"/>
      <w:r w:rsidRPr="00925A8A">
        <w:rPr>
          <w:sz w:val="28"/>
          <w:szCs w:val="28"/>
          <w:lang w:val="en-US"/>
        </w:rPr>
        <w:t>mediatization</w:t>
      </w:r>
      <w:proofErr w:type="spellEnd"/>
      <w:r w:rsidRPr="00925A8A">
        <w:rPr>
          <w:sz w:val="28"/>
          <w:szCs w:val="28"/>
          <w:lang w:val="en-US"/>
        </w:rPr>
        <w:t xml:space="preserve"> of society. A theory of the media as agents of social and cultural change // </w:t>
      </w:r>
      <w:proofErr w:type="spellStart"/>
      <w:r w:rsidRPr="00925A8A">
        <w:rPr>
          <w:sz w:val="28"/>
          <w:szCs w:val="28"/>
          <w:lang w:val="en-US"/>
        </w:rPr>
        <w:t>Nordicom</w:t>
      </w:r>
      <w:proofErr w:type="spellEnd"/>
      <w:r w:rsidRPr="00925A8A">
        <w:rPr>
          <w:sz w:val="28"/>
          <w:szCs w:val="28"/>
          <w:lang w:val="en-US"/>
        </w:rPr>
        <w:t xml:space="preserve"> Review. </w:t>
      </w:r>
      <w:r>
        <w:rPr>
          <w:sz w:val="28"/>
          <w:szCs w:val="28"/>
        </w:rPr>
        <w:t xml:space="preserve">2008. </w:t>
      </w:r>
      <w:r>
        <w:rPr>
          <w:sz w:val="28"/>
          <w:szCs w:val="28"/>
          <w:lang w:val="en-US"/>
        </w:rPr>
        <w:t>Vol. 29 No 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P. 105</w:t>
      </w:r>
      <w:r>
        <w:rPr>
          <w:sz w:val="28"/>
          <w:szCs w:val="28"/>
        </w:rPr>
        <w:t>–</w:t>
      </w:r>
      <w:r w:rsidRPr="003509DF">
        <w:rPr>
          <w:sz w:val="28"/>
          <w:szCs w:val="28"/>
          <w:lang w:val="en-US"/>
        </w:rPr>
        <w:t>134.</w:t>
      </w:r>
    </w:p>
    <w:sectPr w:rsidR="00ED398F" w:rsidRPr="003509DF" w:rsidSect="00ED398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398F"/>
    <w:rsid w:val="00133F7B"/>
    <w:rsid w:val="003509DF"/>
    <w:rsid w:val="007418D3"/>
    <w:rsid w:val="00925A8A"/>
    <w:rsid w:val="00E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2AAAB-735C-4456-B099-BB9E3BC3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8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ED398F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rsid w:val="00ED398F"/>
    <w:pPr>
      <w:spacing w:after="140"/>
    </w:pPr>
  </w:style>
  <w:style w:type="paragraph" w:styleId="a5">
    <w:name w:val="List"/>
    <w:basedOn w:val="a4"/>
    <w:rsid w:val="00ED398F"/>
    <w:rPr>
      <w:rFonts w:cs="Lohit Devanagari"/>
    </w:rPr>
  </w:style>
  <w:style w:type="paragraph" w:customStyle="1" w:styleId="1">
    <w:name w:val="Название объекта1"/>
    <w:basedOn w:val="a"/>
    <w:qFormat/>
    <w:rsid w:val="00ED39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ED398F"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.gavra@spbu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Marmots</cp:lastModifiedBy>
  <cp:revision>9</cp:revision>
  <cp:lastPrinted>2019-11-19T15:51:00Z</cp:lastPrinted>
  <dcterms:created xsi:type="dcterms:W3CDTF">2021-02-08T06:47:00Z</dcterms:created>
  <dcterms:modified xsi:type="dcterms:W3CDTF">2021-06-12T07:16:00Z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