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868E6" w14:textId="77777777" w:rsidR="000A7111" w:rsidRPr="00806F44" w:rsidRDefault="000A7111" w:rsidP="000A7111">
      <w:pPr>
        <w:pStyle w:val="a3"/>
        <w:spacing w:before="0" w:beforeAutospacing="0" w:after="0" w:afterAutospacing="0" w:line="360" w:lineRule="auto"/>
        <w:ind w:firstLine="709"/>
        <w:rPr>
          <w:sz w:val="28"/>
          <w:szCs w:val="28"/>
        </w:rPr>
      </w:pPr>
      <w:r w:rsidRPr="00806F44">
        <w:rPr>
          <w:sz w:val="28"/>
          <w:szCs w:val="28"/>
        </w:rPr>
        <w:t>Сергей Викторович Олейников</w:t>
      </w:r>
    </w:p>
    <w:p w14:paraId="2E7D2A2E" w14:textId="77777777" w:rsidR="000A7111" w:rsidRPr="00806F44" w:rsidRDefault="000A7111" w:rsidP="000A7111">
      <w:pPr>
        <w:pStyle w:val="a3"/>
        <w:spacing w:before="0" w:beforeAutospacing="0" w:after="0" w:afterAutospacing="0" w:line="360" w:lineRule="auto"/>
        <w:ind w:firstLine="709"/>
        <w:rPr>
          <w:sz w:val="28"/>
          <w:szCs w:val="28"/>
        </w:rPr>
      </w:pPr>
      <w:r w:rsidRPr="00806F44">
        <w:rPr>
          <w:sz w:val="28"/>
          <w:szCs w:val="28"/>
        </w:rPr>
        <w:t>Приднестровский государственный университет им. Т. Г. Шевченко</w:t>
      </w:r>
    </w:p>
    <w:p w14:paraId="12C7EC66" w14:textId="77777777" w:rsidR="000A7111" w:rsidRPr="00806F44" w:rsidRDefault="000A7111" w:rsidP="000A7111">
      <w:pPr>
        <w:pStyle w:val="a3"/>
        <w:spacing w:before="0" w:beforeAutospacing="0" w:after="0" w:afterAutospacing="0" w:line="360" w:lineRule="auto"/>
        <w:ind w:firstLine="709"/>
        <w:rPr>
          <w:sz w:val="28"/>
          <w:szCs w:val="28"/>
        </w:rPr>
      </w:pPr>
      <w:hyperlink r:id="rId4" w:history="1">
        <w:r w:rsidRPr="00806F44">
          <w:rPr>
            <w:rStyle w:val="a6"/>
            <w:sz w:val="28"/>
            <w:szCs w:val="28"/>
            <w:lang w:val="en-US"/>
          </w:rPr>
          <w:t>olen</w:t>
        </w:r>
        <w:r w:rsidRPr="00806F44">
          <w:rPr>
            <w:rStyle w:val="a6"/>
            <w:sz w:val="28"/>
            <w:szCs w:val="28"/>
          </w:rPr>
          <w:t>_</w:t>
        </w:r>
        <w:r w:rsidRPr="00806F44">
          <w:rPr>
            <w:rStyle w:val="a6"/>
            <w:sz w:val="28"/>
            <w:szCs w:val="28"/>
            <w:lang w:val="en-US"/>
          </w:rPr>
          <w:t>serg</w:t>
        </w:r>
        <w:r w:rsidRPr="00806F44">
          <w:rPr>
            <w:rStyle w:val="a6"/>
            <w:sz w:val="28"/>
            <w:szCs w:val="28"/>
          </w:rPr>
          <w:t>@</w:t>
        </w:r>
        <w:r w:rsidRPr="00806F44">
          <w:rPr>
            <w:rStyle w:val="a6"/>
            <w:sz w:val="28"/>
            <w:szCs w:val="28"/>
            <w:lang w:val="en-US"/>
          </w:rPr>
          <w:t>inbox</w:t>
        </w:r>
        <w:r w:rsidRPr="00806F44">
          <w:rPr>
            <w:rStyle w:val="a6"/>
            <w:sz w:val="28"/>
            <w:szCs w:val="28"/>
          </w:rPr>
          <w:t>.</w:t>
        </w:r>
        <w:r w:rsidRPr="00806F44">
          <w:rPr>
            <w:rStyle w:val="a6"/>
            <w:sz w:val="28"/>
            <w:szCs w:val="28"/>
            <w:lang w:val="en-US"/>
          </w:rPr>
          <w:t>ru</w:t>
        </w:r>
      </w:hyperlink>
    </w:p>
    <w:p w14:paraId="1AC4B5B0" w14:textId="77777777" w:rsidR="000A7111" w:rsidRPr="00806F44" w:rsidRDefault="000A7111" w:rsidP="000A7111">
      <w:pPr>
        <w:pStyle w:val="a3"/>
        <w:spacing w:before="0" w:beforeAutospacing="0" w:after="0" w:afterAutospacing="0" w:line="360" w:lineRule="auto"/>
        <w:jc w:val="center"/>
        <w:rPr>
          <w:sz w:val="28"/>
          <w:szCs w:val="28"/>
        </w:rPr>
      </w:pPr>
    </w:p>
    <w:p w14:paraId="077ACFFF" w14:textId="77777777" w:rsidR="000A7111" w:rsidRPr="00806F44" w:rsidRDefault="000A7111" w:rsidP="000A7111">
      <w:pPr>
        <w:pStyle w:val="a3"/>
        <w:spacing w:before="0" w:beforeAutospacing="0" w:after="0" w:afterAutospacing="0" w:line="360" w:lineRule="auto"/>
        <w:jc w:val="center"/>
        <w:rPr>
          <w:b/>
          <w:sz w:val="28"/>
          <w:szCs w:val="28"/>
        </w:rPr>
      </w:pPr>
      <w:r w:rsidRPr="00806F44">
        <w:rPr>
          <w:b/>
          <w:sz w:val="28"/>
          <w:szCs w:val="28"/>
        </w:rPr>
        <w:t xml:space="preserve">Эксплицитные и имплицитные интенции государственной системы </w:t>
      </w:r>
      <w:r w:rsidRPr="00806F44">
        <w:rPr>
          <w:b/>
          <w:sz w:val="28"/>
          <w:szCs w:val="28"/>
        </w:rPr>
        <w:br/>
        <w:t>в противодействии экстремизму</w:t>
      </w:r>
    </w:p>
    <w:p w14:paraId="0D8A1FD0" w14:textId="77777777" w:rsidR="000A7111" w:rsidRPr="00806F44" w:rsidRDefault="000A7111" w:rsidP="000A7111">
      <w:pPr>
        <w:pStyle w:val="a3"/>
        <w:spacing w:before="0" w:beforeAutospacing="0" w:after="0" w:afterAutospacing="0" w:line="360" w:lineRule="auto"/>
        <w:ind w:firstLine="720"/>
        <w:jc w:val="both"/>
        <w:rPr>
          <w:sz w:val="28"/>
          <w:szCs w:val="28"/>
        </w:rPr>
      </w:pPr>
    </w:p>
    <w:p w14:paraId="06F32E8E" w14:textId="77777777" w:rsidR="000A7111" w:rsidRPr="00806F44" w:rsidRDefault="000A7111" w:rsidP="000A7111">
      <w:pPr>
        <w:pStyle w:val="a3"/>
        <w:spacing w:before="0" w:beforeAutospacing="0" w:after="0" w:afterAutospacing="0" w:line="360" w:lineRule="auto"/>
        <w:ind w:firstLine="720"/>
        <w:jc w:val="both"/>
        <w:rPr>
          <w:sz w:val="28"/>
          <w:szCs w:val="28"/>
        </w:rPr>
      </w:pPr>
      <w:r w:rsidRPr="00806F44">
        <w:rPr>
          <w:sz w:val="28"/>
          <w:szCs w:val="28"/>
        </w:rPr>
        <w:t>Современная политическая элита, обеспечивая интенсивную информационную защиту общественного и национального самосознания, традиционных ценностно-смысловых ориентиров, противодействуя внедрению конъюнктурных стереотипов и деструктивных установок, балансируют на грани сохранения демократических прав и свобод в обществе и выстраивания своеобразной системы собственной защиты.</w:t>
      </w:r>
    </w:p>
    <w:p w14:paraId="3A4DB5B5" w14:textId="77777777" w:rsidR="000A7111" w:rsidRPr="00806F44" w:rsidRDefault="000A7111" w:rsidP="000A7111">
      <w:pPr>
        <w:pStyle w:val="a3"/>
        <w:spacing w:before="0" w:beforeAutospacing="0" w:after="0" w:afterAutospacing="0" w:line="360" w:lineRule="auto"/>
        <w:ind w:firstLine="720"/>
        <w:jc w:val="both"/>
        <w:rPr>
          <w:sz w:val="28"/>
          <w:szCs w:val="28"/>
        </w:rPr>
      </w:pPr>
      <w:r w:rsidRPr="00806F44">
        <w:rPr>
          <w:sz w:val="28"/>
          <w:szCs w:val="28"/>
        </w:rPr>
        <w:t>Ключевые слова: экстремизм, политическая конъюнктура, права и свободы граждан.</w:t>
      </w:r>
    </w:p>
    <w:p w14:paraId="5240BC77" w14:textId="77777777" w:rsidR="000A7111" w:rsidRPr="00806F44" w:rsidRDefault="000A7111" w:rsidP="000A7111">
      <w:pPr>
        <w:pStyle w:val="a3"/>
        <w:spacing w:before="0" w:beforeAutospacing="0" w:after="0" w:afterAutospacing="0" w:line="360" w:lineRule="auto"/>
        <w:ind w:firstLine="720"/>
        <w:jc w:val="both"/>
        <w:rPr>
          <w:sz w:val="28"/>
          <w:szCs w:val="28"/>
        </w:rPr>
      </w:pPr>
    </w:p>
    <w:p w14:paraId="188B07A9" w14:textId="77777777" w:rsidR="000A7111" w:rsidRPr="00806F44" w:rsidRDefault="000A7111" w:rsidP="000A7111">
      <w:pPr>
        <w:pStyle w:val="a3"/>
        <w:spacing w:before="0" w:beforeAutospacing="0" w:after="0" w:afterAutospacing="0" w:line="360" w:lineRule="auto"/>
        <w:ind w:firstLine="720"/>
        <w:jc w:val="both"/>
        <w:rPr>
          <w:sz w:val="28"/>
          <w:szCs w:val="28"/>
        </w:rPr>
      </w:pPr>
      <w:r w:rsidRPr="00806F44">
        <w:rPr>
          <w:sz w:val="28"/>
          <w:szCs w:val="28"/>
        </w:rPr>
        <w:t xml:space="preserve">Одна из актуальных проблем сохранения стабильности приднестровского общества и государства связана с вопросами противодействия экстремистской деятельности, в том числе и посредством СМИ [2]. </w:t>
      </w:r>
      <w:proofErr w:type="spellStart"/>
      <w:r w:rsidRPr="00806F44">
        <w:rPr>
          <w:sz w:val="28"/>
          <w:szCs w:val="28"/>
        </w:rPr>
        <w:t>Гипостазированность</w:t>
      </w:r>
      <w:proofErr w:type="spellEnd"/>
      <w:r w:rsidRPr="00806F44">
        <w:rPr>
          <w:sz w:val="28"/>
          <w:szCs w:val="28"/>
        </w:rPr>
        <w:t xml:space="preserve"> общенациональной идеи возрождения и сохранения собственной государственности как естественная реакция на </w:t>
      </w:r>
      <w:proofErr w:type="spellStart"/>
      <w:r w:rsidRPr="00806F44">
        <w:rPr>
          <w:sz w:val="28"/>
          <w:szCs w:val="28"/>
        </w:rPr>
        <w:t>этноцентристскую</w:t>
      </w:r>
      <w:proofErr w:type="spellEnd"/>
      <w:r w:rsidRPr="00806F44">
        <w:rPr>
          <w:sz w:val="28"/>
          <w:szCs w:val="28"/>
        </w:rPr>
        <w:t xml:space="preserve">, ультранационалистическую политику бывших метрополий нашла свое отражение и в дополнительном определении в приднестровском законодательстве: к экстремизму относится унижение национального достоинства [1]. </w:t>
      </w:r>
    </w:p>
    <w:p w14:paraId="28B19D7C" w14:textId="30EB9DDC" w:rsidR="000A7111" w:rsidRPr="00806F44" w:rsidRDefault="000A7111" w:rsidP="000A7111">
      <w:pPr>
        <w:pStyle w:val="a3"/>
        <w:spacing w:before="0" w:beforeAutospacing="0" w:after="0" w:afterAutospacing="0" w:line="360" w:lineRule="auto"/>
        <w:ind w:firstLine="720"/>
        <w:jc w:val="both"/>
        <w:rPr>
          <w:sz w:val="28"/>
          <w:szCs w:val="28"/>
        </w:rPr>
      </w:pPr>
      <w:r w:rsidRPr="00806F44">
        <w:rPr>
          <w:sz w:val="28"/>
          <w:szCs w:val="28"/>
        </w:rPr>
        <w:t>К проявлениям экстремизма в Приднестровье отнесены также публичные действия, экстремистские высказывания в СМИ, ум</w:t>
      </w:r>
      <w:r w:rsidR="00E6184D">
        <w:rPr>
          <w:sz w:val="28"/>
          <w:szCs w:val="28"/>
        </w:rPr>
        <w:t>а</w:t>
      </w:r>
      <w:r w:rsidRPr="00806F44">
        <w:rPr>
          <w:sz w:val="28"/>
          <w:szCs w:val="28"/>
        </w:rPr>
        <w:t xml:space="preserve">ляющие и искажающие положительную роль российских миротворцев, и шире </w:t>
      </w:r>
      <w:r w:rsidR="00E6184D">
        <w:rPr>
          <w:sz w:val="28"/>
          <w:szCs w:val="28"/>
        </w:rPr>
        <w:t xml:space="preserve">– </w:t>
      </w:r>
      <w:r w:rsidRPr="00806F44">
        <w:rPr>
          <w:sz w:val="28"/>
          <w:szCs w:val="28"/>
        </w:rPr>
        <w:t>дискредитирующие Российскую Федерацию в поддержании мира, безопасности и стабильности на берегах Днестра.</w:t>
      </w:r>
    </w:p>
    <w:p w14:paraId="40F375A3" w14:textId="5C59984F" w:rsidR="000A7111" w:rsidRPr="00806F44" w:rsidRDefault="000A7111" w:rsidP="000A7111">
      <w:pPr>
        <w:pStyle w:val="a3"/>
        <w:spacing w:before="0" w:beforeAutospacing="0" w:after="0" w:afterAutospacing="0" w:line="360" w:lineRule="auto"/>
        <w:ind w:firstLine="720"/>
        <w:jc w:val="both"/>
        <w:rPr>
          <w:sz w:val="28"/>
          <w:szCs w:val="28"/>
        </w:rPr>
      </w:pPr>
      <w:r w:rsidRPr="00806F44">
        <w:rPr>
          <w:sz w:val="28"/>
          <w:szCs w:val="28"/>
        </w:rPr>
        <w:lastRenderedPageBreak/>
        <w:t>Особый интерес представляет определение экстремизма, данное приднестровскими законодателями [1], касающееся посягательства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В условиях Приднестровья необходимость данной нормы может быть обоснована, во-первых, количеством уголовных дел, заведенных в Молдове на представителей политической элиты Приднестровья, а также угрозой их преследования по политическим мотивам со стороны силовиков Р</w:t>
      </w:r>
      <w:r w:rsidR="00E6184D">
        <w:rPr>
          <w:sz w:val="28"/>
          <w:szCs w:val="28"/>
        </w:rPr>
        <w:t>еспублики Молдова</w:t>
      </w:r>
      <w:r w:rsidRPr="00806F44">
        <w:rPr>
          <w:sz w:val="28"/>
          <w:szCs w:val="28"/>
        </w:rPr>
        <w:t xml:space="preserve">. Во-вторых, конспирологические настроения в государственных институтах силового блока Приднестровья по-прежнему остаются на уровне активной фазы военного и политического противостояния, что предопределяет необходимость высокой степени защиты политических и общественных деятелей республики от потенциальных угроз. В-третьих, данная норма может быть истолкована и как попытка политической элиты создать для себя условия, аналогичные депутатской неприкосновенности, несмотря на дискуссионность данной мысли, которая оставляет широкое поле для обсуждения жесткости или лояльности приднестровского законодательства. </w:t>
      </w:r>
    </w:p>
    <w:p w14:paraId="56F4D504" w14:textId="2BE93197" w:rsidR="000A7111" w:rsidRPr="00806F44" w:rsidRDefault="000A7111" w:rsidP="000A7111">
      <w:pPr>
        <w:pStyle w:val="a3"/>
        <w:spacing w:before="0" w:beforeAutospacing="0" w:after="0" w:afterAutospacing="0" w:line="360" w:lineRule="auto"/>
        <w:ind w:firstLine="720"/>
        <w:jc w:val="both"/>
        <w:rPr>
          <w:sz w:val="28"/>
          <w:szCs w:val="28"/>
        </w:rPr>
      </w:pPr>
      <w:r w:rsidRPr="00806F44">
        <w:rPr>
          <w:sz w:val="28"/>
          <w:szCs w:val="28"/>
        </w:rPr>
        <w:t xml:space="preserve">Устойчивой становится тенденция к выстраиванию высшими должностными лицами своеобразной системы защиты, которая сможет обезопасить их от общественной критики в любой форме, в том числе и посредством СМИ. Манипулируя понятиями «свобода слова» и «экстремизм», меняя их приоритет в зависимости от политической конъюнктуры, политическая элита </w:t>
      </w:r>
      <w:r w:rsidR="00E6184D" w:rsidRPr="00806F44">
        <w:rPr>
          <w:sz w:val="28"/>
          <w:szCs w:val="28"/>
        </w:rPr>
        <w:t>может</w:t>
      </w:r>
      <w:r w:rsidR="00E6184D" w:rsidRPr="00806F44">
        <w:rPr>
          <w:sz w:val="28"/>
          <w:szCs w:val="28"/>
        </w:rPr>
        <w:t xml:space="preserve"> </w:t>
      </w:r>
      <w:r w:rsidR="00E6184D" w:rsidRPr="00806F44">
        <w:rPr>
          <w:sz w:val="28"/>
          <w:szCs w:val="28"/>
        </w:rPr>
        <w:t>расширять</w:t>
      </w:r>
      <w:r w:rsidR="00E6184D" w:rsidRPr="00806F44">
        <w:rPr>
          <w:sz w:val="28"/>
          <w:szCs w:val="28"/>
        </w:rPr>
        <w:t xml:space="preserve"> </w:t>
      </w:r>
      <w:r w:rsidRPr="00806F44">
        <w:rPr>
          <w:sz w:val="28"/>
          <w:szCs w:val="28"/>
        </w:rPr>
        <w:t xml:space="preserve">действие тех или иных законов, а иногда и искажать подзаконными нормативно-правовыми актами. Инструменты дополнительного подзаконного регулирования позволяют «распознать» информационные войны, «вбросы» и провокации в отстаивании государственных интересов в информационном пространстве. </w:t>
      </w:r>
    </w:p>
    <w:p w14:paraId="099CDC63" w14:textId="66BE49DD" w:rsidR="000A7111" w:rsidRPr="00806F44" w:rsidRDefault="000A7111" w:rsidP="000A7111">
      <w:pPr>
        <w:pStyle w:val="a3"/>
        <w:spacing w:before="0" w:beforeAutospacing="0" w:after="0" w:afterAutospacing="0" w:line="360" w:lineRule="auto"/>
        <w:ind w:firstLine="720"/>
        <w:jc w:val="both"/>
        <w:rPr>
          <w:sz w:val="28"/>
          <w:szCs w:val="28"/>
        </w:rPr>
      </w:pPr>
      <w:r w:rsidRPr="00806F44">
        <w:rPr>
          <w:sz w:val="28"/>
          <w:szCs w:val="28"/>
        </w:rPr>
        <w:t xml:space="preserve">Под эгидой борьбы с экстремизмом в республике в течение последних пяти лет не только ужесточались нормы действующего законодательства, но </w:t>
      </w:r>
      <w:r w:rsidRPr="00806F44">
        <w:rPr>
          <w:sz w:val="28"/>
          <w:szCs w:val="28"/>
        </w:rPr>
        <w:lastRenderedPageBreak/>
        <w:t>и соответствующим образом эти процессы позиционировались в государственных СМИ, деятельность которы</w:t>
      </w:r>
      <w:r w:rsidR="00E6184D">
        <w:rPr>
          <w:sz w:val="28"/>
          <w:szCs w:val="28"/>
        </w:rPr>
        <w:t>х</w:t>
      </w:r>
      <w:r w:rsidRPr="00806F44">
        <w:rPr>
          <w:sz w:val="28"/>
          <w:szCs w:val="28"/>
        </w:rPr>
        <w:t xml:space="preserve"> в большинстве случаев сводится к информированию населения о происходящих событиях, позволяю</w:t>
      </w:r>
      <w:r w:rsidR="00E6184D">
        <w:rPr>
          <w:sz w:val="28"/>
          <w:szCs w:val="28"/>
        </w:rPr>
        <w:t>щих</w:t>
      </w:r>
      <w:bookmarkStart w:id="0" w:name="_GoBack"/>
      <w:bookmarkEnd w:id="0"/>
      <w:r w:rsidRPr="00806F44">
        <w:rPr>
          <w:sz w:val="28"/>
          <w:szCs w:val="28"/>
        </w:rPr>
        <w:t xml:space="preserve"> в положительном свете позиционировать действующую власть, декларируя ее истинность, перспективность и аксиоматичность ее взглядов и политических устремлений [3]. Результаты контент-анализа республиканского информационного агентства «Новости Приднестровья» за 2014–2019 гг. демонстрируют устойчивую зависимость: внимание государства к проблеме экстремизма повышается по мере приближения президентских избирательных кампаний. Причем подавляющее большинство таких публикаций отражает проблемы якобы недостаточного противодействия экстремистской угрозе и, соответственно, необходимости мобилизации структур государственной безопасности и министерства внутренних дел в информационном пространстве республики, в том числе и посредством ограничения деятельности традиционных СМИ и новых соцмедиа. </w:t>
      </w:r>
    </w:p>
    <w:p w14:paraId="61BF84F3" w14:textId="77777777" w:rsidR="000A7111" w:rsidRPr="00806F44" w:rsidRDefault="000A7111" w:rsidP="000A7111">
      <w:pPr>
        <w:pStyle w:val="a3"/>
        <w:spacing w:before="0" w:beforeAutospacing="0" w:after="0" w:afterAutospacing="0" w:line="360" w:lineRule="auto"/>
        <w:jc w:val="center"/>
        <w:rPr>
          <w:sz w:val="28"/>
          <w:szCs w:val="28"/>
        </w:rPr>
      </w:pPr>
      <w:r w:rsidRPr="00806F44">
        <w:rPr>
          <w:sz w:val="28"/>
          <w:szCs w:val="28"/>
        </w:rPr>
        <w:t>Литература</w:t>
      </w:r>
    </w:p>
    <w:p w14:paraId="0B5C46F5" w14:textId="77777777" w:rsidR="000A7111" w:rsidRPr="00806F44" w:rsidRDefault="000A7111" w:rsidP="000A7111">
      <w:pPr>
        <w:pStyle w:val="a4"/>
        <w:spacing w:line="360" w:lineRule="auto"/>
        <w:ind w:firstLine="709"/>
        <w:jc w:val="both"/>
        <w:rPr>
          <w:sz w:val="28"/>
          <w:szCs w:val="28"/>
        </w:rPr>
      </w:pPr>
      <w:r w:rsidRPr="00806F44">
        <w:rPr>
          <w:sz w:val="28"/>
          <w:szCs w:val="28"/>
        </w:rPr>
        <w:t xml:space="preserve">1. Закон «О противодействии экстремистской деятельности» ПМР от 27 июля 2007 года № 261 – З – </w:t>
      </w:r>
      <w:r w:rsidRPr="00806F44">
        <w:rPr>
          <w:sz w:val="28"/>
          <w:szCs w:val="28"/>
          <w:lang w:val="en-US"/>
        </w:rPr>
        <w:t>IV</w:t>
      </w:r>
      <w:r w:rsidRPr="00806F44">
        <w:rPr>
          <w:sz w:val="28"/>
          <w:szCs w:val="28"/>
        </w:rPr>
        <w:t xml:space="preserve"> // </w:t>
      </w:r>
      <w:hyperlink r:id="rId5" w:history="1">
        <w:r w:rsidRPr="00806F44">
          <w:rPr>
            <w:rStyle w:val="a6"/>
            <w:sz w:val="28"/>
            <w:szCs w:val="28"/>
          </w:rPr>
          <w:t>http://zakon-pmr.com/DetailDoc.aspx?document=62100</w:t>
        </w:r>
      </w:hyperlink>
      <w:r w:rsidRPr="00806F44">
        <w:rPr>
          <w:sz w:val="28"/>
          <w:szCs w:val="28"/>
        </w:rPr>
        <w:t xml:space="preserve"> </w:t>
      </w:r>
    </w:p>
    <w:p w14:paraId="6E1ACEF6" w14:textId="77777777" w:rsidR="00806F44" w:rsidRDefault="000A7111" w:rsidP="00806F44">
      <w:pPr>
        <w:pStyle w:val="a4"/>
        <w:spacing w:line="360" w:lineRule="auto"/>
        <w:ind w:firstLine="709"/>
        <w:jc w:val="both"/>
      </w:pPr>
      <w:r w:rsidRPr="00806F44">
        <w:rPr>
          <w:sz w:val="28"/>
          <w:szCs w:val="28"/>
        </w:rPr>
        <w:t xml:space="preserve">2. Конституция Приднестровской Молдавской Республики (текущая редакция по состоянию на 20 августа 2016 года) //  </w:t>
      </w:r>
      <w:hyperlink r:id="rId6" w:history="1">
        <w:r w:rsidRPr="00806F44">
          <w:rPr>
            <w:rStyle w:val="a6"/>
            <w:sz w:val="28"/>
            <w:szCs w:val="28"/>
          </w:rPr>
          <w:t>http://www.vspmr.org/legislation/constitution</w:t>
        </w:r>
      </w:hyperlink>
    </w:p>
    <w:p w14:paraId="1582A8C8" w14:textId="77777777" w:rsidR="0000756F" w:rsidRPr="00806F44" w:rsidRDefault="000A7111" w:rsidP="00806F44">
      <w:pPr>
        <w:pStyle w:val="a4"/>
        <w:spacing w:line="360" w:lineRule="auto"/>
        <w:ind w:firstLine="709"/>
        <w:jc w:val="both"/>
        <w:rPr>
          <w:sz w:val="28"/>
          <w:szCs w:val="28"/>
        </w:rPr>
      </w:pPr>
      <w:r w:rsidRPr="00806F44">
        <w:rPr>
          <w:sz w:val="28"/>
          <w:szCs w:val="28"/>
        </w:rPr>
        <w:t xml:space="preserve">3. Указ Президента ПМР от 5 августа 2014 г. № 241 «О мерах, направленных на предупреждение экстремистской деятельности, противодействие распространению материалов и призывов к экстремистской деятельности и информации, содержащей призывы к массовым беспорядкам, участию в массовых (публичных) мероприятиях, проводимых с нарушением установленного порядка, пропаганду торговли людьми, информацию порнографического характера, информацию о действиях сексуального </w:t>
      </w:r>
      <w:r w:rsidRPr="00806F44">
        <w:rPr>
          <w:sz w:val="28"/>
          <w:szCs w:val="28"/>
        </w:rPr>
        <w:lastRenderedPageBreak/>
        <w:t xml:space="preserve">характера в отношении несовершеннолетних в информационно-телекоммуникационных сетях, в том числе глобальной сети интернет» // </w:t>
      </w:r>
      <w:hyperlink r:id="rId7" w:history="1">
        <w:r w:rsidRPr="00806F44">
          <w:rPr>
            <w:rStyle w:val="a6"/>
            <w:sz w:val="28"/>
            <w:szCs w:val="28"/>
          </w:rPr>
          <w:t>https://ulpmr.ru/ul/show/gNt8NBC0m2678PhPvSwk5GfU840D5jKKOYI4</w:t>
        </w:r>
      </w:hyperlink>
    </w:p>
    <w:sectPr w:rsidR="0000756F" w:rsidRPr="00806F44" w:rsidSect="00007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11"/>
    <w:rsid w:val="0000756F"/>
    <w:rsid w:val="000A7111"/>
    <w:rsid w:val="004A5CCA"/>
    <w:rsid w:val="00806F44"/>
    <w:rsid w:val="00E6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5BA420"/>
  <w15:chartTrackingRefBased/>
  <w15:docId w15:val="{48DF40D2-ED55-43E3-8BE1-C35FD09C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7111"/>
    <w:rPr>
      <w:rFonts w:ascii="Arial Unicode MS" w:eastAsia="Arial Unicode MS" w:hAnsi="Arial Unicode MS" w:cs="Arial Unicode M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0A711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footnote text"/>
    <w:aliases w:val="Знак,Char Знак Char Char,Footnote Text1,Footnote Text1 Знак,Char Знак Char Char1,Char Знак Знак Знак Знак,Текст сноски1,Footnote Text1 Знак Знак1,Char Знак Знак Знак1,Footnote Text1 Знак1, Знак"/>
    <w:basedOn w:val="a"/>
    <w:link w:val="a5"/>
    <w:semiHidden/>
    <w:rsid w:val="000A7111"/>
    <w:rPr>
      <w:rFonts w:ascii="Times New Roman" w:eastAsia="Calibri" w:hAnsi="Times New Roman" w:cs="Times New Roman"/>
      <w:lang w:eastAsia="ru-RU"/>
    </w:rPr>
  </w:style>
  <w:style w:type="character" w:customStyle="1" w:styleId="a5">
    <w:name w:val="Текст сноски Знак"/>
    <w:aliases w:val="Знак Знак,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 Знак Знак"/>
    <w:basedOn w:val="a0"/>
    <w:link w:val="a4"/>
    <w:semiHidden/>
    <w:rsid w:val="000A7111"/>
    <w:rPr>
      <w:rFonts w:ascii="Times New Roman" w:eastAsia="Calibri" w:hAnsi="Times New Roman" w:cs="Times New Roman"/>
      <w:sz w:val="20"/>
      <w:szCs w:val="20"/>
      <w:lang w:eastAsia="ru-RU"/>
    </w:rPr>
  </w:style>
  <w:style w:type="character" w:styleId="a6">
    <w:name w:val="Hyperlink"/>
    <w:rsid w:val="000A7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lpmr.ru/ul/show/gNt8NBC0m2678PhPvSwk5GfU840D5jKKOYI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pmr.org/legislation/constitution" TargetMode="External"/><Relationship Id="rId5" Type="http://schemas.openxmlformats.org/officeDocument/2006/relationships/hyperlink" Target="http://zakon-pmr.com/DetailDoc.aspx?document=62100" TargetMode="External"/><Relationship Id="rId4" Type="http://schemas.openxmlformats.org/officeDocument/2006/relationships/hyperlink" Target="mailto:olen_serg@inbo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CharactersWithSpaces>
  <SharedDoc>false</SharedDoc>
  <HLinks>
    <vt:vector size="24" baseType="variant">
      <vt:variant>
        <vt:i4>1638422</vt:i4>
      </vt:variant>
      <vt:variant>
        <vt:i4>9</vt:i4>
      </vt:variant>
      <vt:variant>
        <vt:i4>0</vt:i4>
      </vt:variant>
      <vt:variant>
        <vt:i4>5</vt:i4>
      </vt:variant>
      <vt:variant>
        <vt:lpwstr>https://ulpmr.ru/ul/show/gNt8NBC0m2678PhPvSwk5GfU840D5jKKOYI4</vt:lpwstr>
      </vt:variant>
      <vt:variant>
        <vt:lpwstr/>
      </vt:variant>
      <vt:variant>
        <vt:i4>6225920</vt:i4>
      </vt:variant>
      <vt:variant>
        <vt:i4>6</vt:i4>
      </vt:variant>
      <vt:variant>
        <vt:i4>0</vt:i4>
      </vt:variant>
      <vt:variant>
        <vt:i4>5</vt:i4>
      </vt:variant>
      <vt:variant>
        <vt:lpwstr>http://www.vspmr.org/legislation/constitution</vt:lpwstr>
      </vt:variant>
      <vt:variant>
        <vt:lpwstr/>
      </vt:variant>
      <vt:variant>
        <vt:i4>3407920</vt:i4>
      </vt:variant>
      <vt:variant>
        <vt:i4>3</vt:i4>
      </vt:variant>
      <vt:variant>
        <vt:i4>0</vt:i4>
      </vt:variant>
      <vt:variant>
        <vt:i4>5</vt:i4>
      </vt:variant>
      <vt:variant>
        <vt:lpwstr>http://zakon-pmr.com/DetailDoc.aspx?document=62100</vt:lpwstr>
      </vt:variant>
      <vt:variant>
        <vt:lpwstr/>
      </vt:variant>
      <vt:variant>
        <vt:i4>3407910</vt:i4>
      </vt:variant>
      <vt:variant>
        <vt:i4>0</vt:i4>
      </vt:variant>
      <vt:variant>
        <vt:i4>0</vt:i4>
      </vt:variant>
      <vt:variant>
        <vt:i4>5</vt:i4>
      </vt:variant>
      <vt:variant>
        <vt:lpwstr>mailto:olen_serg@inbox.ru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Z710</dc:creator>
  <cp:keywords/>
  <cp:lastModifiedBy>Viktoriya.VV@outlook.com</cp:lastModifiedBy>
  <cp:revision>2</cp:revision>
  <dcterms:created xsi:type="dcterms:W3CDTF">2020-02-09T09:36:00Z</dcterms:created>
  <dcterms:modified xsi:type="dcterms:W3CDTF">2020-02-09T09:36:00Z</dcterms:modified>
</cp:coreProperties>
</file>