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15BE" w14:textId="77777777" w:rsidR="00CC7F3F" w:rsidRDefault="000D3592">
      <w:pPr>
        <w:pStyle w:val="a5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Антон Валерьевич Князев</w:t>
      </w:r>
    </w:p>
    <w:p w14:paraId="709615BF" w14:textId="114DDDC8" w:rsidR="00CC7F3F" w:rsidRDefault="000D3592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Военная академия Генерального штаба Вооруженных сил Российской Федерации</w:t>
      </w:r>
      <w:r w:rsidR="002A5506">
        <w:rPr>
          <w:color w:val="444444"/>
          <w:sz w:val="28"/>
          <w:szCs w:val="28"/>
          <w:u w:color="444444"/>
        </w:rPr>
        <w:t>, Москва</w:t>
      </w:r>
      <w:bookmarkStart w:id="0" w:name="_GoBack"/>
      <w:bookmarkEnd w:id="0"/>
    </w:p>
    <w:p w14:paraId="709615C0" w14:textId="77777777" w:rsidR="00CC7F3F" w:rsidRDefault="002A5506">
      <w:pPr>
        <w:pStyle w:val="a5"/>
        <w:spacing w:before="0" w:after="0" w:line="360" w:lineRule="auto"/>
        <w:ind w:firstLine="709"/>
        <w:rPr>
          <w:rStyle w:val="a6"/>
          <w:color w:val="444444"/>
          <w:sz w:val="28"/>
          <w:szCs w:val="28"/>
          <w:u w:color="444444"/>
        </w:rPr>
      </w:pPr>
      <w:hyperlink r:id="rId6" w:history="1">
        <w:r w:rsidR="000D3592">
          <w:rPr>
            <w:rStyle w:val="Hyperlink0"/>
          </w:rPr>
          <w:t>anton.V.Knyazev@yandex.ru</w:t>
        </w:r>
      </w:hyperlink>
      <w:r w:rsidR="000D3592">
        <w:rPr>
          <w:rStyle w:val="a6"/>
          <w:color w:val="444444"/>
          <w:sz w:val="28"/>
          <w:szCs w:val="28"/>
          <w:u w:color="444444"/>
        </w:rPr>
        <w:t xml:space="preserve"> </w:t>
      </w:r>
    </w:p>
    <w:p w14:paraId="709615C1" w14:textId="77777777" w:rsidR="00CC7F3F" w:rsidRDefault="00CC7F3F">
      <w:pPr>
        <w:pStyle w:val="a5"/>
        <w:spacing w:before="0" w:after="0" w:line="360" w:lineRule="auto"/>
        <w:ind w:firstLine="709"/>
        <w:rPr>
          <w:rStyle w:val="a6"/>
          <w:b/>
          <w:bCs/>
          <w:color w:val="444444"/>
          <w:sz w:val="28"/>
          <w:szCs w:val="28"/>
          <w:u w:color="444444"/>
        </w:rPr>
      </w:pPr>
    </w:p>
    <w:p w14:paraId="709615C2" w14:textId="77777777" w:rsidR="00CC7F3F" w:rsidRDefault="000D3592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Style w:val="a6"/>
          <w:rFonts w:ascii="Helvetica" w:eastAsia="Helvetica" w:hAnsi="Helvetica" w:cs="Helvetica"/>
          <w:b/>
          <w:bCs/>
          <w:color w:val="444444"/>
          <w:sz w:val="28"/>
          <w:szCs w:val="28"/>
          <w:u w:color="444444"/>
        </w:rPr>
      </w:pPr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>Некоторые вопросы теории информационных операций ВС США, связанные с использованием СМИ</w:t>
      </w:r>
    </w:p>
    <w:p w14:paraId="709615C3" w14:textId="5C53A81A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Рассматриваются положения руководящих документов ВС США в области информационных операций, связанные с использованием СМИ. Раскрываются основные элементы информационных операций ВС США, взаимодействующие со СМИ</w:t>
      </w:r>
    </w:p>
    <w:p w14:paraId="709615C4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Ключевые слова: информационная сфера, информационные операции, целевые аудитории, СМИ, ВС США</w:t>
      </w:r>
    </w:p>
    <w:p w14:paraId="709615C5" w14:textId="77777777" w:rsidR="00CC7F3F" w:rsidRDefault="00CC7F3F">
      <w:pPr>
        <w:pStyle w:val="a5"/>
        <w:spacing w:before="0" w:after="0" w:line="360" w:lineRule="auto"/>
        <w:ind w:firstLine="709"/>
        <w:rPr>
          <w:rStyle w:val="a6"/>
          <w:color w:val="444444"/>
          <w:u w:color="444444"/>
        </w:rPr>
      </w:pPr>
    </w:p>
    <w:p w14:paraId="709615C6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Анализ зарубежных теорий борьбы в информационной сфере показывает, что признанным лидером в этой области являются США. В этой связи для анализа использования СМИ в информационных операциях (далее – ИО) будут использованы положения американского наставления (оригинальное название – «объединенное (совместное) издание») JP 3-13 «Информационные операции» с правками и уточнениями 2014 года [2].</w:t>
      </w:r>
    </w:p>
    <w:p w14:paraId="709615C7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ИО в указанном документе определяются как: «комплексное применение в ходе военных действий информационно-сопряженных возможностей, согласованное с порядком выполнения других задач (операции) и нацеленное на воздействие, срыв, повреждение или перехват процесса принятия решений противоборствующей стороной и потенциальными противниками одновременно с обеспечением безопасности своих сил в данной области» [3] (здесь и далее – перевод авторский. А.К.).</w:t>
      </w:r>
    </w:p>
    <w:p w14:paraId="709615C9" w14:textId="6BB3EF5C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Значительное место отведено определению предметной области ИО – информационной сфере (The Information Environment). По взглядам американских специалистов, информационная сфера представляет собой </w:t>
      </w:r>
      <w:r>
        <w:rPr>
          <w:rStyle w:val="a6"/>
          <w:color w:val="444444"/>
          <w:sz w:val="28"/>
          <w:szCs w:val="28"/>
          <w:u w:color="444444"/>
        </w:rPr>
        <w:lastRenderedPageBreak/>
        <w:t>«совокупность отдельных лиц, организаций и систем, собирающих, обрабатывающих, распространяющих информацию или действующих на ее основе» [1]. Особое значение в ее структуре придается когнитивной (познавательной) области, которая охватывает разум (minds) людей, передающих, получающих, реагирующих на информацию или действующих на ее основе [2].</w:t>
      </w:r>
    </w:p>
    <w:p w14:paraId="709615CA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К когнитивной области относятся процессы передачи и восприятия информации, формирования суждений и убеждений, а также принятия решений на индивидуальном и групповом уровнях. В руководящих документах ВС США указанная область названа наиболее важным компонентом информационной сферы [2].</w:t>
      </w:r>
    </w:p>
    <w:p w14:paraId="709615CC" w14:textId="1A5FC80F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Ключевым понятием, также подробно раскрываемым в объединенном (совместном) издании JP 3-13, является «целевая аудитория» (target audience) – «человек или (социальная) группа, определенная для воздействия» [2]. В зависимости от степени влияния на процесс принятия решений (достижения целей операции), наличия уязвимостей и количественных характеристик целевые аудитории разделяются на ключевые объекты, уязвимые группы населения и массовые аудитории.</w:t>
      </w:r>
    </w:p>
    <w:p w14:paraId="709615CE" w14:textId="6B01D3DC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Особое значение когнитивной области в структуре информационной сферы объясняется тем, что именно она выступает проводником к сознанию (разуму) целевых аудиторий. СМИ используются для создания и трансляции на целевые аудитории соответствующих эффектов в когнитивной области.</w:t>
      </w:r>
    </w:p>
    <w:p w14:paraId="709615D5" w14:textId="7E556F8B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Анализ функционального предназначения сил и средств ИО ВС США позволяет выделить следующие элементы, ведущие воздействие с помощью СМИ: стратегическая коммуникация; деятельность объединенной межведомственной координационной группы в интересах ИО (касающаяся использования возможностей других ведомств и организаций); операции военно-информационного обеспечения (ранее – психологические операции); операции в киберпространстве; специальные технические операции; взаимодействие с первыми лицами.</w:t>
      </w:r>
    </w:p>
    <w:p w14:paraId="709615D6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lastRenderedPageBreak/>
        <w:t>Разведка и специальные технические операции осуществляют в системе ИО функцию обратной связи, оценивая изменения в информационной сфере и эффекты информационного воздействия.</w:t>
      </w:r>
    </w:p>
    <w:p w14:paraId="709615D7" w14:textId="0FF99AE6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Таким образом, анализ положений американских руководящих документов позволяет сделать следующие выводы.</w:t>
      </w:r>
    </w:p>
    <w:p w14:paraId="709615D8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Основные усилия ИО ВС США в мирное время направлены на когнитивную область информационной сферы. При этом различные целевые аудитории подвергаются воздействию конкретных групп СМИ, чем, по-видимому, достигается синергетический эффект.</w:t>
      </w:r>
    </w:p>
    <w:p w14:paraId="709615D9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В ходе ведения ИО ВС США использование всех видов СМИ рассматривается как одно из ключевых направлений влияния на принятие решений руководством страны-объекта воздействия.</w:t>
      </w:r>
    </w:p>
    <w:p w14:paraId="709615DA" w14:textId="77777777" w:rsidR="00CC7F3F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Взаимодействие со СМИ, аудиторией которых являются ключевые объекты воздействия (в том числе опосредованно), представляет одну из главных задач сил и средств ИО, первую очередь стратегической коммуникации, взаимодействия с первыми лицами, сил и средств государственных ведомств США, а также некоммерческих организаций.</w:t>
      </w:r>
    </w:p>
    <w:p w14:paraId="709615DB" w14:textId="77777777" w:rsidR="00CC7F3F" w:rsidRPr="002A5506" w:rsidRDefault="000D3592">
      <w:pPr>
        <w:pStyle w:val="a5"/>
        <w:spacing w:before="0" w:after="0" w:line="360" w:lineRule="auto"/>
        <w:ind w:firstLine="709"/>
        <w:jc w:val="center"/>
        <w:rPr>
          <w:rStyle w:val="a6"/>
          <w:color w:val="444444"/>
          <w:sz w:val="28"/>
          <w:szCs w:val="28"/>
          <w:u w:color="444444"/>
          <w:lang w:val="en-US"/>
        </w:rPr>
      </w:pPr>
      <w:r>
        <w:rPr>
          <w:rStyle w:val="a6"/>
          <w:color w:val="444444"/>
          <w:sz w:val="28"/>
          <w:szCs w:val="28"/>
          <w:u w:color="444444"/>
        </w:rPr>
        <w:t>Литература</w:t>
      </w:r>
    </w:p>
    <w:p w14:paraId="709615DC" w14:textId="051A5584" w:rsidR="00CC7F3F" w:rsidRPr="000D3592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  <w:lang w:val="en-US"/>
        </w:rPr>
      </w:pPr>
      <w:r w:rsidRPr="000D3592">
        <w:rPr>
          <w:rStyle w:val="a6"/>
          <w:color w:val="444444"/>
          <w:sz w:val="28"/>
          <w:szCs w:val="28"/>
          <w:u w:color="444444"/>
          <w:lang w:val="en-US"/>
        </w:rPr>
        <w:t xml:space="preserve">1. </w:t>
      </w:r>
      <w:r>
        <w:rPr>
          <w:rStyle w:val="a6"/>
          <w:color w:val="444444"/>
          <w:sz w:val="28"/>
          <w:szCs w:val="28"/>
          <w:u w:color="444444"/>
          <w:lang w:val="en-US"/>
        </w:rPr>
        <w:t>Joint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 xml:space="preserve"> </w:t>
      </w:r>
      <w:r>
        <w:rPr>
          <w:rStyle w:val="a6"/>
          <w:color w:val="444444"/>
          <w:sz w:val="28"/>
          <w:szCs w:val="28"/>
          <w:u w:color="444444"/>
          <w:lang w:val="en-US"/>
        </w:rPr>
        <w:t>Planning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 xml:space="preserve">: </w:t>
      </w:r>
      <w:r>
        <w:rPr>
          <w:rStyle w:val="a6"/>
          <w:color w:val="444444"/>
          <w:sz w:val="28"/>
          <w:szCs w:val="28"/>
          <w:u w:color="444444"/>
          <w:lang w:val="en-US"/>
        </w:rPr>
        <w:t>JP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 xml:space="preserve"> 5-0. </w:t>
      </w:r>
      <w:r>
        <w:rPr>
          <w:rStyle w:val="a6"/>
          <w:color w:val="444444"/>
          <w:sz w:val="28"/>
          <w:szCs w:val="28"/>
          <w:u w:color="444444"/>
          <w:lang w:val="en-US"/>
        </w:rPr>
        <w:t xml:space="preserve">16 June 2017 // Defense Technical Information Center. 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URL: http://www.dtic.mil/doctrine/new_pubs/jp5_0.pdf.</w:t>
      </w:r>
    </w:p>
    <w:p w14:paraId="709615DD" w14:textId="2D3C1644" w:rsidR="00CC7F3F" w:rsidRPr="000D3592" w:rsidRDefault="000D3592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  <w:lang w:val="en-US"/>
        </w:rPr>
      </w:pPr>
      <w:r>
        <w:rPr>
          <w:rStyle w:val="a6"/>
          <w:color w:val="444444"/>
          <w:sz w:val="28"/>
          <w:szCs w:val="28"/>
          <w:u w:color="444444"/>
          <w:lang w:val="en-US"/>
        </w:rPr>
        <w:t>2. Information Operations: Joint Publication 3–13 / Joint Chiefs of Staff. 2012. 2 Nov. Incorporating change 2014. 20 Nov. // Defense Technical Information Center. URL: http://www.dtic.mil/doctrine/new_pubs/jp3_13.pdf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.</w:t>
      </w:r>
    </w:p>
    <w:p w14:paraId="709615DE" w14:textId="753380D3" w:rsidR="00CC7F3F" w:rsidRPr="000D3592" w:rsidRDefault="000D3592">
      <w:pPr>
        <w:pStyle w:val="a5"/>
        <w:spacing w:before="0" w:after="0" w:line="360" w:lineRule="auto"/>
        <w:ind w:firstLine="709"/>
        <w:jc w:val="both"/>
        <w:rPr>
          <w:lang w:val="en-US"/>
        </w:rPr>
      </w:pPr>
      <w:r>
        <w:rPr>
          <w:rStyle w:val="a6"/>
          <w:color w:val="444444"/>
          <w:sz w:val="28"/>
          <w:szCs w:val="28"/>
          <w:u w:color="444444"/>
          <w:lang w:val="en-US"/>
        </w:rPr>
        <w:t>3. The Department of Defense. Strategy for operations in the information environment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.</w:t>
      </w:r>
      <w:r>
        <w:rPr>
          <w:rStyle w:val="a6"/>
          <w:color w:val="444444"/>
          <w:sz w:val="28"/>
          <w:szCs w:val="28"/>
          <w:u w:color="444444"/>
          <w:lang w:val="en-US"/>
        </w:rPr>
        <w:t xml:space="preserve"> URL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 xml:space="preserve">: </w:t>
      </w:r>
      <w:r>
        <w:rPr>
          <w:rStyle w:val="a6"/>
          <w:color w:val="444444"/>
          <w:sz w:val="28"/>
          <w:szCs w:val="28"/>
          <w:u w:color="444444"/>
          <w:lang w:val="en-US"/>
        </w:rPr>
        <w:t>https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://</w:t>
      </w:r>
      <w:r>
        <w:rPr>
          <w:rStyle w:val="a6"/>
          <w:color w:val="444444"/>
          <w:sz w:val="28"/>
          <w:szCs w:val="28"/>
          <w:u w:color="444444"/>
          <w:lang w:val="en-US"/>
        </w:rPr>
        <w:t>toinformistoinfluence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.</w:t>
      </w:r>
      <w:r>
        <w:rPr>
          <w:rStyle w:val="a6"/>
          <w:color w:val="444444"/>
          <w:sz w:val="28"/>
          <w:szCs w:val="28"/>
          <w:u w:color="444444"/>
          <w:lang w:val="en-US"/>
        </w:rPr>
        <w:t>com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/2016/06/27/</w:t>
      </w:r>
      <w:r>
        <w:rPr>
          <w:rStyle w:val="a6"/>
          <w:color w:val="444444"/>
          <w:sz w:val="28"/>
          <w:szCs w:val="28"/>
          <w:u w:color="444444"/>
          <w:lang w:val="en-US"/>
        </w:rPr>
        <w:t>dod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-</w:t>
      </w:r>
      <w:r>
        <w:rPr>
          <w:rStyle w:val="a6"/>
          <w:color w:val="444444"/>
          <w:sz w:val="28"/>
          <w:szCs w:val="28"/>
          <w:u w:color="444444"/>
          <w:lang w:val="en-US"/>
        </w:rPr>
        <w:t>strategy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-</w:t>
      </w:r>
      <w:r>
        <w:rPr>
          <w:rStyle w:val="a6"/>
          <w:color w:val="444444"/>
          <w:sz w:val="28"/>
          <w:szCs w:val="28"/>
          <w:u w:color="444444"/>
          <w:lang w:val="en-US"/>
        </w:rPr>
        <w:t>for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-</w:t>
      </w:r>
      <w:r>
        <w:rPr>
          <w:rStyle w:val="a6"/>
          <w:color w:val="444444"/>
          <w:sz w:val="28"/>
          <w:szCs w:val="28"/>
          <w:u w:color="444444"/>
          <w:lang w:val="en-US"/>
        </w:rPr>
        <w:t>operations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-</w:t>
      </w:r>
      <w:r>
        <w:rPr>
          <w:rStyle w:val="a6"/>
          <w:color w:val="444444"/>
          <w:sz w:val="28"/>
          <w:szCs w:val="28"/>
          <w:u w:color="444444"/>
          <w:lang w:val="en-US"/>
        </w:rPr>
        <w:t>in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-</w:t>
      </w:r>
      <w:r>
        <w:rPr>
          <w:rStyle w:val="a6"/>
          <w:color w:val="444444"/>
          <w:sz w:val="28"/>
          <w:szCs w:val="28"/>
          <w:u w:color="444444"/>
          <w:lang w:val="en-US"/>
        </w:rPr>
        <w:t>the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-</w:t>
      </w:r>
      <w:r>
        <w:rPr>
          <w:rStyle w:val="a6"/>
          <w:color w:val="444444"/>
          <w:sz w:val="28"/>
          <w:szCs w:val="28"/>
          <w:u w:color="444444"/>
          <w:lang w:val="en-US"/>
        </w:rPr>
        <w:t>information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-</w:t>
      </w:r>
      <w:r>
        <w:rPr>
          <w:rStyle w:val="a6"/>
          <w:color w:val="444444"/>
          <w:sz w:val="28"/>
          <w:szCs w:val="28"/>
          <w:u w:color="444444"/>
          <w:lang w:val="en-US"/>
        </w:rPr>
        <w:t>environment</w:t>
      </w:r>
      <w:r w:rsidRPr="000D3592">
        <w:rPr>
          <w:rStyle w:val="a6"/>
          <w:color w:val="444444"/>
          <w:sz w:val="28"/>
          <w:szCs w:val="28"/>
          <w:u w:color="444444"/>
          <w:lang w:val="en-US"/>
        </w:rPr>
        <w:t>/.</w:t>
      </w:r>
    </w:p>
    <w:sectPr w:rsidR="00CC7F3F" w:rsidRPr="000D359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615E5" w14:textId="77777777" w:rsidR="004434E7" w:rsidRDefault="000D3592">
      <w:pPr>
        <w:spacing w:after="0" w:line="240" w:lineRule="auto"/>
      </w:pPr>
      <w:r>
        <w:separator/>
      </w:r>
    </w:p>
  </w:endnote>
  <w:endnote w:type="continuationSeparator" w:id="0">
    <w:p w14:paraId="709615E7" w14:textId="77777777" w:rsidR="004434E7" w:rsidRDefault="000D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15E0" w14:textId="77777777" w:rsidR="00CC7F3F" w:rsidRDefault="00CC7F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15E1" w14:textId="77777777" w:rsidR="004434E7" w:rsidRDefault="000D3592">
      <w:pPr>
        <w:spacing w:after="0" w:line="240" w:lineRule="auto"/>
      </w:pPr>
      <w:r>
        <w:separator/>
      </w:r>
    </w:p>
  </w:footnote>
  <w:footnote w:type="continuationSeparator" w:id="0">
    <w:p w14:paraId="709615E3" w14:textId="77777777" w:rsidR="004434E7" w:rsidRDefault="000D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15DF" w14:textId="77777777" w:rsidR="00CC7F3F" w:rsidRDefault="00CC7F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3F"/>
    <w:rsid w:val="000D3592"/>
    <w:rsid w:val="002A5506"/>
    <w:rsid w:val="004434E7"/>
    <w:rsid w:val="00C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15BE"/>
  <w15:docId w15:val="{47A39BCC-8817-41AF-84B0-C27CCC5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.V.Knyazev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Васильева</dc:creator>
  <cp:lastModifiedBy>Viktoriya.VV@outlook.com</cp:lastModifiedBy>
  <cp:revision>3</cp:revision>
  <dcterms:created xsi:type="dcterms:W3CDTF">2020-03-10T15:12:00Z</dcterms:created>
  <dcterms:modified xsi:type="dcterms:W3CDTF">2020-03-10T15:12:00Z</dcterms:modified>
</cp:coreProperties>
</file>